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A37EC" w:rsidRPr="001C267A" w:rsidRDefault="002A37EC" w:rsidP="002A37EC">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TUTORIAL PROGRAMME</w:t>
      </w:r>
    </w:p>
    <w:p w:rsidR="002A37EC" w:rsidRPr="001C267A" w:rsidRDefault="002A37EC" w:rsidP="002A37EC">
      <w:pPr>
        <w:jc w:val="both"/>
        <w:rPr>
          <w:rFonts w:asciiTheme="minorHAnsi" w:hAnsiTheme="minorHAnsi" w:cs="Courier New"/>
          <w:szCs w:val="22"/>
        </w:rPr>
      </w:pPr>
      <w:r w:rsidRPr="001C267A">
        <w:rPr>
          <w:rFonts w:asciiTheme="minorHAnsi" w:hAnsiTheme="minorHAnsi" w:cs="Courier New"/>
          <w:szCs w:val="22"/>
        </w:rPr>
        <w:t>You mu</w:t>
      </w:r>
      <w:r>
        <w:rPr>
          <w:rFonts w:asciiTheme="minorHAnsi" w:hAnsiTheme="minorHAnsi" w:cs="Courier New"/>
          <w:szCs w:val="22"/>
        </w:rPr>
        <w:t>st attend one tutorial per week</w:t>
      </w:r>
      <w:r w:rsidRPr="001C267A">
        <w:rPr>
          <w:rFonts w:asciiTheme="minorHAnsi" w:hAnsiTheme="minorHAnsi" w:cs="Courier New"/>
          <w:szCs w:val="22"/>
        </w:rPr>
        <w:t>. There are no tutorials in the first week of lectures.</w:t>
      </w:r>
    </w:p>
    <w:p w:rsidR="002A37EC" w:rsidRPr="001C267A" w:rsidRDefault="002A37EC" w:rsidP="002A37EC">
      <w:pPr>
        <w:jc w:val="both"/>
        <w:rPr>
          <w:rFonts w:asciiTheme="minorHAnsi" w:hAnsiTheme="minorHAnsi" w:cs="Courier New"/>
          <w:szCs w:val="22"/>
        </w:rPr>
      </w:pPr>
    </w:p>
    <w:p w:rsidR="002A37EC" w:rsidRDefault="002A37EC" w:rsidP="002A37EC">
      <w:pPr>
        <w:jc w:val="both"/>
        <w:rPr>
          <w:rFonts w:asciiTheme="minorHAnsi" w:hAnsiTheme="minorHAnsi" w:cs="Courier New"/>
          <w:b/>
          <w:szCs w:val="22"/>
        </w:rPr>
      </w:pPr>
      <w:r w:rsidRPr="001C267A">
        <w:rPr>
          <w:rFonts w:asciiTheme="minorHAnsi" w:hAnsiTheme="minorHAnsi" w:cs="Courier New"/>
          <w:szCs w:val="22"/>
        </w:rPr>
        <w:t xml:space="preserve">To prepare for each tutorial you are required to do the set readings, all of which are in this guide. </w:t>
      </w:r>
      <w:r>
        <w:rPr>
          <w:rFonts w:asciiTheme="minorHAnsi" w:hAnsiTheme="minorHAnsi" w:cs="Courier New"/>
          <w:szCs w:val="22"/>
        </w:rPr>
        <w:t xml:space="preserve">They cover a wide range of sources commonly used by historians.  </w:t>
      </w:r>
      <w:r w:rsidRPr="001C267A">
        <w:rPr>
          <w:rFonts w:asciiTheme="minorHAnsi" w:hAnsiTheme="minorHAnsi" w:cs="Courier New"/>
          <w:szCs w:val="22"/>
        </w:rPr>
        <w:t xml:space="preserve">To help you think about the reading, questions have been set for </w:t>
      </w:r>
      <w:r>
        <w:rPr>
          <w:rFonts w:asciiTheme="minorHAnsi" w:hAnsiTheme="minorHAnsi" w:cs="Courier New"/>
          <w:szCs w:val="22"/>
        </w:rPr>
        <w:t>the first</w:t>
      </w:r>
      <w:r w:rsidRPr="001C267A">
        <w:rPr>
          <w:rFonts w:asciiTheme="minorHAnsi" w:hAnsiTheme="minorHAnsi" w:cs="Courier New"/>
          <w:szCs w:val="22"/>
        </w:rPr>
        <w:t xml:space="preserve"> tutorial. </w:t>
      </w:r>
      <w:r w:rsidRPr="007E6E93">
        <w:rPr>
          <w:rFonts w:asciiTheme="minorHAnsi" w:hAnsiTheme="minorHAnsi" w:cs="Courier New"/>
          <w:b/>
          <w:szCs w:val="22"/>
        </w:rPr>
        <w:t xml:space="preserve">For following tutorials, each class </w:t>
      </w:r>
      <w:r>
        <w:rPr>
          <w:rFonts w:asciiTheme="minorHAnsi" w:hAnsiTheme="minorHAnsi" w:cs="Courier New"/>
          <w:b/>
          <w:szCs w:val="22"/>
        </w:rPr>
        <w:t>member will provide</w:t>
      </w:r>
      <w:r w:rsidRPr="007E6E93">
        <w:rPr>
          <w:rFonts w:asciiTheme="minorHAnsi" w:hAnsiTheme="minorHAnsi" w:cs="Courier New"/>
          <w:b/>
          <w:szCs w:val="22"/>
        </w:rPr>
        <w:t xml:space="preserve"> a</w:t>
      </w:r>
      <w:r>
        <w:rPr>
          <w:rFonts w:asciiTheme="minorHAnsi" w:hAnsiTheme="minorHAnsi" w:cs="Courier New"/>
          <w:b/>
          <w:szCs w:val="22"/>
        </w:rPr>
        <w:t xml:space="preserve"> written </w:t>
      </w:r>
      <w:r w:rsidRPr="007E6E93">
        <w:rPr>
          <w:rFonts w:asciiTheme="minorHAnsi" w:hAnsiTheme="minorHAnsi" w:cs="Courier New"/>
          <w:b/>
          <w:szCs w:val="22"/>
        </w:rPr>
        <w:t>question</w:t>
      </w:r>
      <w:r>
        <w:rPr>
          <w:rFonts w:asciiTheme="minorHAnsi" w:hAnsiTheme="minorHAnsi" w:cs="Courier New"/>
          <w:szCs w:val="22"/>
        </w:rPr>
        <w:t xml:space="preserve">, </w:t>
      </w:r>
      <w:r w:rsidRPr="007E6E93">
        <w:rPr>
          <w:rFonts w:asciiTheme="minorHAnsi" w:hAnsiTheme="minorHAnsi" w:cs="Courier New"/>
          <w:b/>
          <w:szCs w:val="22"/>
        </w:rPr>
        <w:t>emailed</w:t>
      </w:r>
      <w:r>
        <w:rPr>
          <w:rFonts w:asciiTheme="minorHAnsi" w:hAnsiTheme="minorHAnsi" w:cs="Courier New"/>
          <w:szCs w:val="22"/>
        </w:rPr>
        <w:t xml:space="preserve"> </w:t>
      </w:r>
      <w:r w:rsidRPr="007E6E93">
        <w:rPr>
          <w:rFonts w:asciiTheme="minorHAnsi" w:hAnsiTheme="minorHAnsi" w:cs="Courier New"/>
          <w:b/>
          <w:szCs w:val="22"/>
        </w:rPr>
        <w:t xml:space="preserve">to the lecturer </w:t>
      </w:r>
      <w:r>
        <w:rPr>
          <w:rFonts w:asciiTheme="minorHAnsi" w:hAnsiTheme="minorHAnsi" w:cs="Courier New"/>
          <w:b/>
          <w:szCs w:val="22"/>
        </w:rPr>
        <w:t>on the Monday before tutorial.</w:t>
      </w:r>
      <w:r w:rsidRPr="007E6E93">
        <w:rPr>
          <w:rFonts w:asciiTheme="minorHAnsi" w:hAnsiTheme="minorHAnsi" w:cs="Courier New"/>
          <w:b/>
          <w:szCs w:val="22"/>
        </w:rPr>
        <w:t xml:space="preserve"> </w:t>
      </w:r>
    </w:p>
    <w:p w:rsidR="002A37EC" w:rsidRDefault="002A37EC" w:rsidP="002A37EC">
      <w:pPr>
        <w:jc w:val="both"/>
        <w:rPr>
          <w:rFonts w:asciiTheme="minorHAnsi" w:hAnsiTheme="minorHAnsi" w:cs="Courier New"/>
          <w:b/>
          <w:szCs w:val="22"/>
        </w:rPr>
      </w:pPr>
    </w:p>
    <w:p w:rsidR="002A37EC" w:rsidRPr="001C267A" w:rsidRDefault="002A37EC" w:rsidP="002A37EC">
      <w:pPr>
        <w:jc w:val="both"/>
        <w:rPr>
          <w:rFonts w:asciiTheme="minorHAnsi" w:hAnsiTheme="minorHAnsi" w:cs="Courier New"/>
          <w:szCs w:val="22"/>
        </w:rPr>
      </w:pPr>
      <w:r>
        <w:rPr>
          <w:rFonts w:asciiTheme="minorHAnsi" w:hAnsiTheme="minorHAnsi" w:cs="Courier New"/>
          <w:b/>
          <w:szCs w:val="22"/>
        </w:rPr>
        <w:t xml:space="preserve">Tips: </w:t>
      </w:r>
      <w:r>
        <w:rPr>
          <w:rFonts w:asciiTheme="minorHAnsi" w:hAnsiTheme="minorHAnsi" w:cs="Courier New"/>
          <w:szCs w:val="22"/>
        </w:rPr>
        <w:t xml:space="preserve"> </w:t>
      </w:r>
      <w:r w:rsidRPr="001C267A">
        <w:rPr>
          <w:rFonts w:asciiTheme="minorHAnsi" w:hAnsiTheme="minorHAnsi" w:cs="Courier New"/>
          <w:szCs w:val="22"/>
        </w:rPr>
        <w:t xml:space="preserve">In general, when reading history you should be thinking about who wrote this and when, what is their main hypothesis or argument (as distinct from just the narrative content of the piece), and what is your critical response to the work. Are you convinced by the argument? If so, why? </w:t>
      </w:r>
      <w:proofErr w:type="gramStart"/>
      <w:r w:rsidRPr="001C267A">
        <w:rPr>
          <w:rFonts w:asciiTheme="minorHAnsi" w:hAnsiTheme="minorHAnsi" w:cs="Courier New"/>
          <w:szCs w:val="22"/>
        </w:rPr>
        <w:t>If not, why not?</w:t>
      </w:r>
      <w:proofErr w:type="gramEnd"/>
      <w:r w:rsidRPr="001C267A">
        <w:rPr>
          <w:rFonts w:asciiTheme="minorHAnsi" w:hAnsiTheme="minorHAnsi" w:cs="Courier New"/>
          <w:szCs w:val="22"/>
        </w:rPr>
        <w:t xml:space="preserve"> Is their evidence compelling? Are there other sources they could have used, or other interpretations they could have placed on the material? How do the primary documents impact on your reading of the secondary source?</w:t>
      </w:r>
    </w:p>
    <w:p w:rsidR="002A37EC" w:rsidRPr="001C267A" w:rsidRDefault="002A37EC" w:rsidP="002A37EC">
      <w:pPr>
        <w:jc w:val="both"/>
        <w:rPr>
          <w:rFonts w:asciiTheme="minorHAnsi" w:hAnsiTheme="minorHAnsi" w:cs="Courier New"/>
        </w:rPr>
      </w:pPr>
    </w:p>
    <w:p w:rsidR="002A37EC" w:rsidRPr="00C24417" w:rsidRDefault="002A37EC" w:rsidP="002A37EC">
      <w:pPr>
        <w:rPr>
          <w:rFonts w:asciiTheme="minorHAnsi" w:hAnsiTheme="minorHAnsi"/>
          <w:b/>
        </w:rPr>
      </w:pPr>
      <w:r w:rsidRPr="00C24417">
        <w:rPr>
          <w:rFonts w:asciiTheme="minorHAnsi" w:hAnsiTheme="minorHAnsi"/>
          <w:b/>
        </w:rPr>
        <w:t xml:space="preserve">Week 1: </w:t>
      </w:r>
    </w:p>
    <w:p w:rsidR="002A37EC" w:rsidRDefault="002A37EC" w:rsidP="002A37EC">
      <w:pPr>
        <w:rPr>
          <w:rFonts w:asciiTheme="minorHAnsi" w:hAnsiTheme="minorHAnsi"/>
        </w:rPr>
      </w:pPr>
    </w:p>
    <w:p w:rsidR="002A37EC" w:rsidRDefault="002A37EC" w:rsidP="002A37EC">
      <w:pPr>
        <w:rPr>
          <w:rFonts w:asciiTheme="minorHAnsi" w:hAnsiTheme="minorHAnsi"/>
        </w:rPr>
      </w:pPr>
      <w:r w:rsidRPr="00C24417">
        <w:rPr>
          <w:rFonts w:asciiTheme="minorHAnsi" w:hAnsiTheme="minorHAnsi"/>
        </w:rPr>
        <w:t>No tutorials this week.</w:t>
      </w:r>
    </w:p>
    <w:p w:rsidR="002A37EC" w:rsidRPr="00C24417" w:rsidRDefault="002A37EC" w:rsidP="002A37EC">
      <w:pPr>
        <w:rPr>
          <w:rFonts w:asciiTheme="minorHAnsi" w:hAnsiTheme="minorHAnsi"/>
        </w:rPr>
      </w:pPr>
    </w:p>
    <w:p w:rsidR="002A37EC" w:rsidRPr="00C24417" w:rsidRDefault="002A37EC" w:rsidP="002A37EC">
      <w:pPr>
        <w:rPr>
          <w:rFonts w:asciiTheme="minorHAnsi" w:hAnsiTheme="minorHAnsi"/>
          <w:b/>
        </w:rPr>
      </w:pPr>
      <w:r w:rsidRPr="00C24417">
        <w:rPr>
          <w:rFonts w:asciiTheme="minorHAnsi" w:hAnsiTheme="minorHAnsi"/>
          <w:b/>
        </w:rPr>
        <w:t xml:space="preserve">Week 2: At Home in New Zealand </w:t>
      </w:r>
    </w:p>
    <w:p w:rsidR="002A37EC" w:rsidRDefault="002A37EC" w:rsidP="002A37EC">
      <w:pPr>
        <w:rPr>
          <w:rFonts w:asciiTheme="minorHAnsi" w:hAnsiTheme="minorHAnsi"/>
        </w:rPr>
      </w:pPr>
    </w:p>
    <w:p w:rsidR="002A37EC" w:rsidRPr="00C24417" w:rsidRDefault="002A37EC" w:rsidP="002A37EC">
      <w:pPr>
        <w:rPr>
          <w:rFonts w:asciiTheme="minorHAnsi" w:hAnsiTheme="minorHAnsi"/>
        </w:rPr>
      </w:pPr>
      <w:proofErr w:type="gramStart"/>
      <w:r w:rsidRPr="00C24417">
        <w:rPr>
          <w:rFonts w:asciiTheme="minorHAnsi" w:hAnsiTheme="minorHAnsi"/>
        </w:rPr>
        <w:t xml:space="preserve">Reading: Peter Gibbons, ‘Cultural Colonisation and National Identity’, </w:t>
      </w:r>
      <w:r w:rsidRPr="00C24417">
        <w:rPr>
          <w:rFonts w:asciiTheme="minorHAnsi" w:hAnsiTheme="minorHAnsi"/>
          <w:i/>
        </w:rPr>
        <w:t>New Zealand Journal of History</w:t>
      </w:r>
      <w:r w:rsidRPr="00C24417">
        <w:rPr>
          <w:rFonts w:asciiTheme="minorHAnsi" w:hAnsiTheme="minorHAnsi"/>
        </w:rPr>
        <w:t>, 36, 1, 2002, pp.5–17.</w:t>
      </w:r>
      <w:proofErr w:type="gramEnd"/>
    </w:p>
    <w:p w:rsidR="002A37EC" w:rsidRDefault="002A37EC" w:rsidP="002A37EC">
      <w:pPr>
        <w:rPr>
          <w:rFonts w:asciiTheme="minorHAnsi" w:hAnsiTheme="minorHAnsi"/>
        </w:rPr>
      </w:pPr>
    </w:p>
    <w:p w:rsidR="002A37EC" w:rsidRDefault="002A37EC" w:rsidP="002A37EC">
      <w:pPr>
        <w:rPr>
          <w:rFonts w:asciiTheme="minorHAnsi" w:hAnsiTheme="minorHAnsi"/>
        </w:rPr>
      </w:pPr>
      <w:r w:rsidRPr="00C24417">
        <w:rPr>
          <w:rFonts w:asciiTheme="minorHAnsi" w:hAnsiTheme="minorHAnsi"/>
        </w:rPr>
        <w:t xml:space="preserve">Questions: What is ‘cultural colonization’? What makes Gibbons’ approach different for the ‘quest for nationhood’ approach common in New Zealand </w:t>
      </w:r>
      <w:proofErr w:type="gramStart"/>
      <w:r w:rsidRPr="00C24417">
        <w:rPr>
          <w:rFonts w:asciiTheme="minorHAnsi" w:hAnsiTheme="minorHAnsi"/>
        </w:rPr>
        <w:t>history.</w:t>
      </w:r>
      <w:proofErr w:type="gramEnd"/>
    </w:p>
    <w:p w:rsidR="002A37EC" w:rsidRPr="00C24417" w:rsidRDefault="002A37EC" w:rsidP="002A37EC">
      <w:pPr>
        <w:rPr>
          <w:rFonts w:asciiTheme="minorHAnsi" w:hAnsiTheme="minorHAnsi"/>
        </w:rPr>
      </w:pPr>
    </w:p>
    <w:p w:rsidR="002A37EC" w:rsidRPr="00C24417" w:rsidRDefault="002A37EC" w:rsidP="002A37EC">
      <w:pPr>
        <w:rPr>
          <w:rFonts w:asciiTheme="minorHAnsi" w:hAnsiTheme="minorHAnsi"/>
          <w:b/>
        </w:rPr>
      </w:pPr>
      <w:r w:rsidRPr="00C24417">
        <w:rPr>
          <w:rFonts w:asciiTheme="minorHAnsi" w:hAnsiTheme="minorHAnsi"/>
          <w:b/>
        </w:rPr>
        <w:t>Week 3: Tourism at Home and Abroad</w:t>
      </w:r>
    </w:p>
    <w:p w:rsidR="002A37EC" w:rsidRDefault="002A37EC" w:rsidP="002A37EC">
      <w:pPr>
        <w:rPr>
          <w:rFonts w:asciiTheme="minorHAnsi" w:hAnsiTheme="minorHAnsi"/>
        </w:rPr>
      </w:pPr>
    </w:p>
    <w:p w:rsidR="002A37EC" w:rsidRDefault="002A37EC" w:rsidP="002A37EC">
      <w:pPr>
        <w:rPr>
          <w:rFonts w:asciiTheme="minorHAnsi" w:hAnsiTheme="minorHAnsi"/>
        </w:rPr>
      </w:pPr>
      <w:r w:rsidRPr="00C24417">
        <w:rPr>
          <w:rFonts w:asciiTheme="minorHAnsi" w:hAnsiTheme="minorHAnsi"/>
        </w:rPr>
        <w:t xml:space="preserve">Reading: Felicity Barnes, </w:t>
      </w:r>
      <w:r>
        <w:rPr>
          <w:rFonts w:asciiTheme="minorHAnsi" w:hAnsiTheme="minorHAnsi"/>
        </w:rPr>
        <w:t>‘New Zealand’s London’,</w:t>
      </w:r>
      <w:r w:rsidRPr="00C24417">
        <w:rPr>
          <w:rFonts w:asciiTheme="minorHAnsi" w:hAnsiTheme="minorHAnsi"/>
        </w:rPr>
        <w:t xml:space="preserve"> </w:t>
      </w:r>
      <w:r w:rsidRPr="00C24417">
        <w:rPr>
          <w:rFonts w:asciiTheme="minorHAnsi" w:hAnsiTheme="minorHAnsi"/>
          <w:i/>
        </w:rPr>
        <w:t>New Zealand’s London: A Colony and its Metropolis</w:t>
      </w:r>
      <w:r w:rsidRPr="00C24417">
        <w:rPr>
          <w:rFonts w:asciiTheme="minorHAnsi" w:hAnsiTheme="minorHAnsi"/>
        </w:rPr>
        <w:t>, 25, 3, 1999, pp.</w:t>
      </w:r>
      <w:r>
        <w:rPr>
          <w:rFonts w:asciiTheme="minorHAnsi" w:hAnsiTheme="minorHAnsi"/>
        </w:rPr>
        <w:t>14-40</w:t>
      </w:r>
      <w:r w:rsidRPr="00C24417">
        <w:rPr>
          <w:rFonts w:asciiTheme="minorHAnsi" w:hAnsiTheme="minorHAnsi"/>
        </w:rPr>
        <w:t>.</w:t>
      </w:r>
    </w:p>
    <w:p w:rsidR="002A37EC" w:rsidRPr="00C24417" w:rsidRDefault="002A37EC" w:rsidP="002A37EC">
      <w:pPr>
        <w:rPr>
          <w:rFonts w:asciiTheme="minorHAnsi" w:hAnsiTheme="minorHAnsi"/>
        </w:rPr>
      </w:pPr>
    </w:p>
    <w:p w:rsidR="002A37EC" w:rsidRDefault="002A37EC" w:rsidP="002A37EC">
      <w:pPr>
        <w:rPr>
          <w:rFonts w:asciiTheme="minorHAnsi" w:hAnsiTheme="minorHAnsi"/>
        </w:rPr>
      </w:pPr>
      <w:r w:rsidRPr="00C24417">
        <w:rPr>
          <w:rFonts w:asciiTheme="minorHAnsi" w:hAnsiTheme="minorHAnsi"/>
        </w:rPr>
        <w:t xml:space="preserve">Alan Mulgan, </w:t>
      </w:r>
      <w:r w:rsidRPr="00C24417">
        <w:rPr>
          <w:rFonts w:asciiTheme="minorHAnsi" w:hAnsiTheme="minorHAnsi"/>
          <w:i/>
        </w:rPr>
        <w:t>Home: A New Zealander’s Adventure</w:t>
      </w:r>
      <w:r w:rsidRPr="00C24417">
        <w:rPr>
          <w:rFonts w:asciiTheme="minorHAnsi" w:hAnsiTheme="minorHAnsi"/>
        </w:rPr>
        <w:t>, London 1927, pp.23-35.</w:t>
      </w:r>
    </w:p>
    <w:p w:rsidR="002A37EC" w:rsidRPr="00C24417" w:rsidRDefault="002A37EC" w:rsidP="002A37EC">
      <w:pPr>
        <w:rPr>
          <w:rFonts w:asciiTheme="minorHAnsi" w:hAnsiTheme="minorHAnsi"/>
        </w:rPr>
      </w:pPr>
    </w:p>
    <w:p w:rsidR="002A37EC" w:rsidRPr="00C24417" w:rsidRDefault="002A37EC" w:rsidP="002A37EC">
      <w:pPr>
        <w:rPr>
          <w:rFonts w:asciiTheme="minorHAnsi" w:hAnsiTheme="minorHAnsi"/>
          <w:b/>
        </w:rPr>
      </w:pPr>
      <w:r w:rsidRPr="00C24417">
        <w:rPr>
          <w:rFonts w:asciiTheme="minorHAnsi" w:hAnsiTheme="minorHAnsi"/>
          <w:b/>
        </w:rPr>
        <w:t xml:space="preserve">Week 4: </w:t>
      </w:r>
      <w:r>
        <w:rPr>
          <w:rFonts w:asciiTheme="minorHAnsi" w:hAnsiTheme="minorHAnsi"/>
          <w:b/>
        </w:rPr>
        <w:t>Media</w:t>
      </w:r>
    </w:p>
    <w:p w:rsidR="002A37EC" w:rsidRDefault="002A37EC" w:rsidP="002A37EC">
      <w:pPr>
        <w:rPr>
          <w:rFonts w:asciiTheme="minorHAnsi" w:hAnsiTheme="minorHAnsi"/>
        </w:rPr>
      </w:pPr>
    </w:p>
    <w:p w:rsidR="002A37EC" w:rsidRPr="00C24417" w:rsidRDefault="002A37EC" w:rsidP="002A37EC">
      <w:pPr>
        <w:rPr>
          <w:rFonts w:asciiTheme="minorHAnsi" w:hAnsiTheme="minorHAnsi"/>
        </w:rPr>
      </w:pPr>
      <w:r w:rsidRPr="00C24417">
        <w:rPr>
          <w:rFonts w:asciiTheme="minorHAnsi" w:hAnsiTheme="minorHAnsi"/>
        </w:rPr>
        <w:t xml:space="preserve">Reading: Patrick Day, ‘American Popular Culture and New Zealand Broadcasting: The Reception of Early Radio Serials’, </w:t>
      </w:r>
      <w:r w:rsidRPr="00C24417">
        <w:rPr>
          <w:rFonts w:asciiTheme="minorHAnsi" w:hAnsiTheme="minorHAnsi"/>
          <w:i/>
        </w:rPr>
        <w:t>Journal of Popular Culture</w:t>
      </w:r>
      <w:r w:rsidRPr="00C24417">
        <w:rPr>
          <w:rFonts w:asciiTheme="minorHAnsi" w:hAnsiTheme="minorHAnsi"/>
        </w:rPr>
        <w:t>, 30, 1, 1996, pp.203–214.</w:t>
      </w:r>
    </w:p>
    <w:p w:rsidR="002A37EC" w:rsidRDefault="002A37EC" w:rsidP="002A37EC">
      <w:pPr>
        <w:rPr>
          <w:rFonts w:asciiTheme="minorHAnsi" w:hAnsiTheme="minorHAnsi"/>
        </w:rPr>
      </w:pPr>
    </w:p>
    <w:p w:rsidR="002A37EC" w:rsidRPr="00C24417" w:rsidRDefault="002A37EC" w:rsidP="002A37EC">
      <w:pPr>
        <w:rPr>
          <w:rFonts w:asciiTheme="minorHAnsi" w:hAnsiTheme="minorHAnsi"/>
        </w:rPr>
      </w:pPr>
      <w:r w:rsidRPr="00C24417">
        <w:rPr>
          <w:rFonts w:asciiTheme="minorHAnsi" w:hAnsiTheme="minorHAnsi"/>
        </w:rPr>
        <w:t>Peter Hoar, ‘Weddings Rugby and Royalty: The Reign of Radio between the Wars in New Zealand’,</w:t>
      </w:r>
      <w:r>
        <w:rPr>
          <w:rFonts w:asciiTheme="minorHAnsi" w:hAnsiTheme="minorHAnsi"/>
        </w:rPr>
        <w:t xml:space="preserve"> in ‘Hearing the World: Audio Technologies and Listening in New Zealand, 1879-1939’,</w:t>
      </w:r>
      <w:r w:rsidRPr="00C24417">
        <w:rPr>
          <w:rFonts w:asciiTheme="minorHAnsi" w:hAnsiTheme="minorHAnsi"/>
        </w:rPr>
        <w:t xml:space="preserve"> PhD. Thesis, University of Auckland, 2012, pp.223-256.</w:t>
      </w:r>
    </w:p>
    <w:p w:rsidR="002A37EC" w:rsidRDefault="002A37EC" w:rsidP="002A37EC">
      <w:pPr>
        <w:rPr>
          <w:rFonts w:asciiTheme="minorHAnsi" w:hAnsiTheme="minorHAnsi"/>
          <w:b/>
        </w:rPr>
      </w:pPr>
    </w:p>
    <w:p w:rsidR="002A37EC" w:rsidRDefault="002A37EC" w:rsidP="002A37EC">
      <w:pPr>
        <w:rPr>
          <w:rFonts w:asciiTheme="minorHAnsi" w:hAnsiTheme="minorHAnsi"/>
          <w:b/>
        </w:rPr>
      </w:pPr>
    </w:p>
    <w:p w:rsidR="002A37EC" w:rsidRDefault="002A37EC" w:rsidP="002A37EC">
      <w:pPr>
        <w:rPr>
          <w:rFonts w:asciiTheme="minorHAnsi" w:hAnsiTheme="minorHAnsi"/>
          <w:b/>
        </w:rPr>
      </w:pPr>
    </w:p>
    <w:p w:rsidR="002A37EC" w:rsidRPr="00C24417" w:rsidRDefault="002A37EC" w:rsidP="002A37EC">
      <w:pPr>
        <w:rPr>
          <w:rFonts w:asciiTheme="minorHAnsi" w:hAnsiTheme="minorHAnsi"/>
          <w:b/>
        </w:rPr>
      </w:pPr>
      <w:r w:rsidRPr="00C24417">
        <w:rPr>
          <w:rFonts w:asciiTheme="minorHAnsi" w:hAnsiTheme="minorHAnsi"/>
          <w:b/>
        </w:rPr>
        <w:t xml:space="preserve">Week 5: </w:t>
      </w:r>
      <w:r>
        <w:rPr>
          <w:rFonts w:asciiTheme="minorHAnsi" w:hAnsiTheme="minorHAnsi"/>
          <w:b/>
        </w:rPr>
        <w:t xml:space="preserve">Bodies </w:t>
      </w:r>
    </w:p>
    <w:p w:rsidR="002A37EC" w:rsidRPr="00C24417" w:rsidRDefault="002A37EC" w:rsidP="002A37EC">
      <w:pPr>
        <w:rPr>
          <w:rFonts w:asciiTheme="minorHAnsi" w:hAnsiTheme="minorHAnsi"/>
        </w:rPr>
      </w:pPr>
      <w:r w:rsidRPr="00C24417">
        <w:rPr>
          <w:rFonts w:asciiTheme="minorHAnsi" w:hAnsiTheme="minorHAnsi"/>
        </w:rPr>
        <w:t xml:space="preserve">Reading: Pat Moloney, ‘Shameless Tahitians and Modest Maori: Constructing the Sexuality of Pacific Peoples, ‘in Allison Kirkman and Pat Moloney </w:t>
      </w:r>
      <w:proofErr w:type="gramStart"/>
      <w:r w:rsidRPr="00C24417">
        <w:rPr>
          <w:rFonts w:asciiTheme="minorHAnsi" w:hAnsiTheme="minorHAnsi"/>
        </w:rPr>
        <w:t>eds</w:t>
      </w:r>
      <w:proofErr w:type="gramEnd"/>
      <w:r w:rsidRPr="00C24417">
        <w:rPr>
          <w:rFonts w:asciiTheme="minorHAnsi" w:hAnsiTheme="minorHAnsi"/>
        </w:rPr>
        <w:t xml:space="preserve">, </w:t>
      </w:r>
      <w:r w:rsidRPr="00C24417">
        <w:rPr>
          <w:rFonts w:asciiTheme="minorHAnsi" w:hAnsiTheme="minorHAnsi"/>
          <w:i/>
        </w:rPr>
        <w:t>Sexuality Down Under: Social and Historical Perspectives</w:t>
      </w:r>
      <w:r w:rsidRPr="00C24417">
        <w:rPr>
          <w:rFonts w:asciiTheme="minorHAnsi" w:hAnsiTheme="minorHAnsi"/>
        </w:rPr>
        <w:t>, Dunedin, 2005, pp.29-46.</w:t>
      </w:r>
    </w:p>
    <w:p w:rsidR="002A37EC" w:rsidRDefault="002A37EC" w:rsidP="002A37EC">
      <w:pPr>
        <w:rPr>
          <w:rFonts w:asciiTheme="minorHAnsi" w:hAnsiTheme="minorHAnsi"/>
          <w:b/>
        </w:rPr>
      </w:pPr>
    </w:p>
    <w:p w:rsidR="002A37EC" w:rsidRDefault="002A37EC" w:rsidP="002A37EC">
      <w:pPr>
        <w:rPr>
          <w:rFonts w:asciiTheme="minorHAnsi" w:hAnsiTheme="minorHAnsi"/>
          <w:b/>
        </w:rPr>
      </w:pPr>
      <w:r w:rsidRPr="00C24417">
        <w:rPr>
          <w:rFonts w:asciiTheme="minorHAnsi" w:hAnsiTheme="minorHAnsi"/>
          <w:b/>
        </w:rPr>
        <w:t xml:space="preserve">Week </w:t>
      </w:r>
      <w:r>
        <w:rPr>
          <w:rFonts w:asciiTheme="minorHAnsi" w:hAnsiTheme="minorHAnsi"/>
          <w:b/>
        </w:rPr>
        <w:t>6</w:t>
      </w:r>
      <w:r w:rsidRPr="00C24417">
        <w:rPr>
          <w:rFonts w:asciiTheme="minorHAnsi" w:hAnsiTheme="minorHAnsi"/>
          <w:b/>
        </w:rPr>
        <w:t xml:space="preserve">: </w:t>
      </w:r>
      <w:r>
        <w:rPr>
          <w:rFonts w:asciiTheme="minorHAnsi" w:hAnsiTheme="minorHAnsi"/>
          <w:b/>
        </w:rPr>
        <w:t>Holidays</w:t>
      </w:r>
    </w:p>
    <w:p w:rsidR="002A37EC" w:rsidRPr="00C24417" w:rsidRDefault="002A37EC" w:rsidP="002A37EC">
      <w:pPr>
        <w:rPr>
          <w:rFonts w:asciiTheme="minorHAnsi" w:hAnsiTheme="minorHAnsi"/>
          <w:b/>
        </w:rPr>
      </w:pPr>
    </w:p>
    <w:p w:rsidR="002A37EC" w:rsidRPr="00C24417" w:rsidRDefault="002A37EC" w:rsidP="002A37EC">
      <w:pPr>
        <w:rPr>
          <w:rFonts w:asciiTheme="minorHAnsi" w:hAnsiTheme="minorHAnsi"/>
        </w:rPr>
      </w:pPr>
      <w:r w:rsidRPr="00C24417">
        <w:rPr>
          <w:rFonts w:asciiTheme="minorHAnsi" w:hAnsiTheme="minorHAnsi"/>
        </w:rPr>
        <w:t xml:space="preserve">Reading: Helen Robinson, ‘Making a New Zealand Day: The Creation and Context of a National Holiday’, </w:t>
      </w:r>
      <w:r w:rsidRPr="00C24417">
        <w:rPr>
          <w:rFonts w:asciiTheme="minorHAnsi" w:hAnsiTheme="minorHAnsi"/>
          <w:i/>
        </w:rPr>
        <w:t>New Zealand Journal of History</w:t>
      </w:r>
      <w:r w:rsidRPr="00C24417">
        <w:rPr>
          <w:rFonts w:asciiTheme="minorHAnsi" w:hAnsiTheme="minorHAnsi"/>
        </w:rPr>
        <w:t>, 46, 1, 2012, pp.37–51</w:t>
      </w:r>
      <w:r>
        <w:rPr>
          <w:rFonts w:asciiTheme="minorHAnsi" w:hAnsiTheme="minorHAnsi"/>
        </w:rPr>
        <w:t>.</w:t>
      </w:r>
      <w:r w:rsidRPr="00C24417">
        <w:rPr>
          <w:rFonts w:asciiTheme="minorHAnsi" w:hAnsiTheme="minorHAnsi"/>
        </w:rPr>
        <w:t xml:space="preserve"> </w:t>
      </w:r>
    </w:p>
    <w:p w:rsidR="002A37EC" w:rsidRDefault="002A37EC" w:rsidP="002A37EC">
      <w:pPr>
        <w:rPr>
          <w:rFonts w:asciiTheme="minorHAnsi" w:hAnsiTheme="minorHAnsi"/>
        </w:rPr>
      </w:pPr>
    </w:p>
    <w:p w:rsidR="002A37EC" w:rsidRDefault="002A37EC" w:rsidP="002A37EC">
      <w:pPr>
        <w:rPr>
          <w:rFonts w:asciiTheme="minorHAnsi" w:hAnsiTheme="minorHAnsi"/>
          <w:b/>
        </w:rPr>
      </w:pPr>
      <w:r w:rsidRPr="00C24417">
        <w:rPr>
          <w:rFonts w:asciiTheme="minorHAnsi" w:hAnsiTheme="minorHAnsi"/>
          <w:b/>
        </w:rPr>
        <w:t xml:space="preserve">Week </w:t>
      </w:r>
      <w:r>
        <w:rPr>
          <w:rFonts w:asciiTheme="minorHAnsi" w:hAnsiTheme="minorHAnsi"/>
          <w:b/>
        </w:rPr>
        <w:t>7</w:t>
      </w:r>
      <w:r w:rsidRPr="00C24417">
        <w:rPr>
          <w:rFonts w:asciiTheme="minorHAnsi" w:hAnsiTheme="minorHAnsi"/>
          <w:b/>
        </w:rPr>
        <w:t xml:space="preserve">:  Exhibitions </w:t>
      </w:r>
    </w:p>
    <w:p w:rsidR="002A37EC" w:rsidRPr="00C24417" w:rsidRDefault="002A37EC" w:rsidP="002A37EC">
      <w:pPr>
        <w:rPr>
          <w:rFonts w:asciiTheme="minorHAnsi" w:hAnsiTheme="minorHAnsi"/>
          <w:b/>
        </w:rPr>
      </w:pPr>
    </w:p>
    <w:p w:rsidR="002A37EC" w:rsidRPr="00C24417" w:rsidRDefault="002A37EC" w:rsidP="002A37EC">
      <w:pPr>
        <w:rPr>
          <w:rFonts w:asciiTheme="minorHAnsi" w:hAnsiTheme="minorHAnsi"/>
        </w:rPr>
      </w:pPr>
      <w:proofErr w:type="gramStart"/>
      <w:r w:rsidRPr="00C24417">
        <w:rPr>
          <w:rFonts w:asciiTheme="minorHAnsi" w:hAnsiTheme="minorHAnsi"/>
        </w:rPr>
        <w:t xml:space="preserve">Reading: Conal McCarthy, </w:t>
      </w:r>
      <w:r>
        <w:rPr>
          <w:rFonts w:asciiTheme="minorHAnsi" w:hAnsiTheme="minorHAnsi"/>
        </w:rPr>
        <w:t xml:space="preserve">‘“Colonialism’s Culture”, 1865-1913”, in </w:t>
      </w:r>
      <w:r w:rsidRPr="00B50ABA">
        <w:rPr>
          <w:rFonts w:asciiTheme="minorHAnsi" w:hAnsiTheme="minorHAnsi"/>
          <w:i/>
        </w:rPr>
        <w:t xml:space="preserve">Exhibiting Maori: A </w:t>
      </w:r>
      <w:r>
        <w:rPr>
          <w:rFonts w:asciiTheme="minorHAnsi" w:hAnsiTheme="minorHAnsi"/>
          <w:i/>
        </w:rPr>
        <w:t>H</w:t>
      </w:r>
      <w:r w:rsidRPr="00B50ABA">
        <w:rPr>
          <w:rFonts w:asciiTheme="minorHAnsi" w:hAnsiTheme="minorHAnsi"/>
          <w:i/>
        </w:rPr>
        <w:t>istory of Colonial Cultures of Display</w:t>
      </w:r>
      <w:r>
        <w:rPr>
          <w:rFonts w:asciiTheme="minorHAnsi" w:hAnsiTheme="minorHAnsi"/>
        </w:rPr>
        <w:t>, Wellington, 2007, pp.13-60.</w:t>
      </w:r>
      <w:proofErr w:type="gramEnd"/>
    </w:p>
    <w:p w:rsidR="002A37EC" w:rsidRDefault="002A37EC" w:rsidP="002A37EC">
      <w:pPr>
        <w:rPr>
          <w:rFonts w:asciiTheme="minorHAnsi" w:hAnsiTheme="minorHAnsi"/>
        </w:rPr>
      </w:pPr>
    </w:p>
    <w:p w:rsidR="002A37EC" w:rsidRPr="00C24417" w:rsidRDefault="002A37EC" w:rsidP="002A37EC">
      <w:pPr>
        <w:rPr>
          <w:rFonts w:asciiTheme="minorHAnsi" w:hAnsiTheme="minorHAnsi"/>
          <w:b/>
        </w:rPr>
      </w:pPr>
      <w:r w:rsidRPr="00C24417">
        <w:rPr>
          <w:rFonts w:asciiTheme="minorHAnsi" w:hAnsiTheme="minorHAnsi"/>
          <w:b/>
        </w:rPr>
        <w:t xml:space="preserve">Week </w:t>
      </w:r>
      <w:r>
        <w:rPr>
          <w:rFonts w:asciiTheme="minorHAnsi" w:hAnsiTheme="minorHAnsi"/>
          <w:b/>
        </w:rPr>
        <w:t>8</w:t>
      </w:r>
      <w:r w:rsidRPr="00C24417">
        <w:rPr>
          <w:rFonts w:asciiTheme="minorHAnsi" w:hAnsiTheme="minorHAnsi"/>
          <w:b/>
        </w:rPr>
        <w:t>: The Rural Myth</w:t>
      </w:r>
    </w:p>
    <w:p w:rsidR="002A37EC" w:rsidRDefault="002A37EC" w:rsidP="002A37EC">
      <w:pPr>
        <w:rPr>
          <w:rFonts w:asciiTheme="minorHAnsi" w:hAnsiTheme="minorHAnsi"/>
        </w:rPr>
      </w:pPr>
    </w:p>
    <w:p w:rsidR="002A37EC" w:rsidRDefault="002A37EC" w:rsidP="002A37EC">
      <w:pPr>
        <w:rPr>
          <w:rFonts w:asciiTheme="minorHAnsi" w:hAnsiTheme="minorHAnsi"/>
        </w:rPr>
      </w:pPr>
      <w:r w:rsidRPr="00C24417">
        <w:rPr>
          <w:rFonts w:asciiTheme="minorHAnsi" w:hAnsiTheme="minorHAnsi"/>
        </w:rPr>
        <w:t xml:space="preserve">Reading: Miles Fairburn, ‘The Rural Myth and the New Urban Frontier: An Approach to New Zealand Social History, 1870–1940’, </w:t>
      </w:r>
      <w:r w:rsidRPr="00C24417">
        <w:rPr>
          <w:rFonts w:asciiTheme="minorHAnsi" w:hAnsiTheme="minorHAnsi"/>
          <w:i/>
        </w:rPr>
        <w:t>New Zealand Journal of History</w:t>
      </w:r>
      <w:r w:rsidRPr="00C24417">
        <w:rPr>
          <w:rFonts w:asciiTheme="minorHAnsi" w:hAnsiTheme="minorHAnsi"/>
        </w:rPr>
        <w:t>, 9, 1, 1975, pp.3–21.</w:t>
      </w:r>
    </w:p>
    <w:p w:rsidR="002A37EC" w:rsidRPr="00C24417" w:rsidRDefault="002A37EC" w:rsidP="002A37EC">
      <w:pPr>
        <w:rPr>
          <w:rFonts w:asciiTheme="minorHAnsi" w:hAnsiTheme="minorHAnsi"/>
        </w:rPr>
      </w:pPr>
    </w:p>
    <w:p w:rsidR="002A37EC" w:rsidRDefault="002A37EC" w:rsidP="002A37EC">
      <w:pPr>
        <w:rPr>
          <w:rFonts w:asciiTheme="minorHAnsi" w:hAnsiTheme="minorHAnsi"/>
        </w:rPr>
      </w:pPr>
      <w:r>
        <w:rPr>
          <w:rFonts w:asciiTheme="minorHAnsi" w:hAnsiTheme="minorHAnsi"/>
        </w:rPr>
        <w:t xml:space="preserve">Reading: </w:t>
      </w:r>
      <w:r w:rsidRPr="00C24417">
        <w:rPr>
          <w:rFonts w:asciiTheme="minorHAnsi" w:hAnsiTheme="minorHAnsi"/>
        </w:rPr>
        <w:t>Felicity Barnes, ‘Britain’s Farm: Empire Marketing At Home’, in Peter Alsop and Gary Stewart eds</w:t>
      </w:r>
      <w:proofErr w:type="gramStart"/>
      <w:r w:rsidRPr="00C24417">
        <w:rPr>
          <w:rFonts w:asciiTheme="minorHAnsi" w:hAnsiTheme="minorHAnsi"/>
        </w:rPr>
        <w:t>.,</w:t>
      </w:r>
      <w:proofErr w:type="gramEnd"/>
      <w:r w:rsidRPr="00C24417">
        <w:rPr>
          <w:rFonts w:asciiTheme="minorHAnsi" w:hAnsiTheme="minorHAnsi"/>
        </w:rPr>
        <w:t xml:space="preserve"> </w:t>
      </w:r>
      <w:r w:rsidRPr="00C24417">
        <w:rPr>
          <w:rFonts w:asciiTheme="minorHAnsi" w:hAnsiTheme="minorHAnsi"/>
          <w:i/>
        </w:rPr>
        <w:t>Promoting Prosperity: The Art of Early New Zealand Advertising,</w:t>
      </w:r>
      <w:r w:rsidRPr="00C24417">
        <w:rPr>
          <w:rFonts w:asciiTheme="minorHAnsi" w:hAnsiTheme="minorHAnsi"/>
        </w:rPr>
        <w:t xml:space="preserve"> </w:t>
      </w:r>
      <w:r>
        <w:rPr>
          <w:rFonts w:asciiTheme="minorHAnsi" w:hAnsiTheme="minorHAnsi"/>
        </w:rPr>
        <w:t>Nelson, 2013,</w:t>
      </w:r>
      <w:r w:rsidRPr="00C24417">
        <w:rPr>
          <w:rFonts w:asciiTheme="minorHAnsi" w:hAnsiTheme="minorHAnsi"/>
        </w:rPr>
        <w:t>pp.76-81.</w:t>
      </w:r>
    </w:p>
    <w:p w:rsidR="002A37EC" w:rsidRPr="00C24417" w:rsidRDefault="002A37EC" w:rsidP="002A37EC">
      <w:pPr>
        <w:rPr>
          <w:rFonts w:asciiTheme="minorHAnsi" w:hAnsiTheme="minorHAnsi"/>
        </w:rPr>
      </w:pPr>
    </w:p>
    <w:p w:rsidR="002A37EC" w:rsidRPr="00C24417" w:rsidRDefault="002A37EC" w:rsidP="002A37EC">
      <w:pPr>
        <w:rPr>
          <w:rFonts w:asciiTheme="minorHAnsi" w:hAnsiTheme="minorHAnsi"/>
          <w:b/>
        </w:rPr>
      </w:pPr>
      <w:r w:rsidRPr="00C24417">
        <w:rPr>
          <w:rFonts w:asciiTheme="minorHAnsi" w:hAnsiTheme="minorHAnsi"/>
          <w:b/>
        </w:rPr>
        <w:t xml:space="preserve">Week </w:t>
      </w:r>
      <w:r>
        <w:rPr>
          <w:rFonts w:asciiTheme="minorHAnsi" w:hAnsiTheme="minorHAnsi"/>
          <w:b/>
        </w:rPr>
        <w:t>9</w:t>
      </w:r>
      <w:r w:rsidRPr="00C24417">
        <w:rPr>
          <w:rFonts w:asciiTheme="minorHAnsi" w:hAnsiTheme="minorHAnsi"/>
          <w:b/>
        </w:rPr>
        <w:t xml:space="preserve">: </w:t>
      </w:r>
      <w:r>
        <w:rPr>
          <w:rFonts w:asciiTheme="minorHAnsi" w:hAnsiTheme="minorHAnsi"/>
          <w:b/>
        </w:rPr>
        <w:t>Consumers not Producers</w:t>
      </w:r>
    </w:p>
    <w:p w:rsidR="002A37EC" w:rsidRDefault="002A37EC" w:rsidP="002A37EC">
      <w:pPr>
        <w:rPr>
          <w:rFonts w:asciiTheme="minorHAnsi" w:hAnsiTheme="minorHAnsi"/>
        </w:rPr>
      </w:pPr>
    </w:p>
    <w:p w:rsidR="002A37EC" w:rsidRDefault="002A37EC" w:rsidP="002A37EC">
      <w:pPr>
        <w:rPr>
          <w:rFonts w:asciiTheme="minorHAnsi" w:hAnsiTheme="minorHAnsi" w:cs="Courier New"/>
          <w:szCs w:val="22"/>
        </w:rPr>
      </w:pPr>
      <w:r>
        <w:rPr>
          <w:rFonts w:asciiTheme="minorHAnsi" w:hAnsiTheme="minorHAnsi" w:cs="Courier New"/>
          <w:szCs w:val="22"/>
        </w:rPr>
        <w:t xml:space="preserve">Reading: Chris Brickell, ‘The Politics of Post War Consumer Culture’, </w:t>
      </w:r>
      <w:r w:rsidRPr="00C565FE">
        <w:rPr>
          <w:rFonts w:asciiTheme="minorHAnsi" w:hAnsiTheme="minorHAnsi" w:cs="Courier New"/>
          <w:i/>
          <w:szCs w:val="22"/>
        </w:rPr>
        <w:t>New Zealand Journal of History</w:t>
      </w:r>
      <w:r>
        <w:rPr>
          <w:rFonts w:asciiTheme="minorHAnsi" w:hAnsiTheme="minorHAnsi" w:cs="Courier New"/>
          <w:szCs w:val="22"/>
        </w:rPr>
        <w:t>, 40, 2, 2006, pp.133-155.</w:t>
      </w:r>
    </w:p>
    <w:p w:rsidR="002A37EC" w:rsidRDefault="002A37EC" w:rsidP="002A37EC">
      <w:pPr>
        <w:rPr>
          <w:rFonts w:asciiTheme="minorHAnsi" w:hAnsiTheme="minorHAnsi"/>
        </w:rPr>
      </w:pPr>
    </w:p>
    <w:p w:rsidR="002A37EC" w:rsidRPr="00C24417" w:rsidRDefault="002A37EC" w:rsidP="002A37EC">
      <w:pPr>
        <w:rPr>
          <w:rFonts w:asciiTheme="minorHAnsi" w:hAnsiTheme="minorHAnsi"/>
          <w:b/>
        </w:rPr>
      </w:pPr>
      <w:bookmarkStart w:id="0" w:name="_GoBack"/>
      <w:bookmarkEnd w:id="0"/>
      <w:r w:rsidRPr="00C24417">
        <w:rPr>
          <w:rFonts w:asciiTheme="minorHAnsi" w:hAnsiTheme="minorHAnsi"/>
          <w:b/>
        </w:rPr>
        <w:t xml:space="preserve">Week 10: Changing Cities </w:t>
      </w:r>
    </w:p>
    <w:p w:rsidR="002A37EC" w:rsidRDefault="002A37EC" w:rsidP="002A37EC">
      <w:pPr>
        <w:rPr>
          <w:rFonts w:asciiTheme="minorHAnsi" w:hAnsiTheme="minorHAnsi"/>
        </w:rPr>
      </w:pPr>
    </w:p>
    <w:p w:rsidR="002A37EC" w:rsidRPr="00C24417" w:rsidRDefault="002A37EC" w:rsidP="002A37EC">
      <w:pPr>
        <w:rPr>
          <w:rFonts w:asciiTheme="minorHAnsi" w:hAnsiTheme="minorHAnsi"/>
        </w:rPr>
      </w:pPr>
      <w:r w:rsidRPr="00C24417">
        <w:rPr>
          <w:rFonts w:asciiTheme="minorHAnsi" w:hAnsiTheme="minorHAnsi"/>
        </w:rPr>
        <w:t xml:space="preserve">Reading: David Hamer, ‘Antipodean Patterns of Urban Development, in </w:t>
      </w:r>
      <w:r w:rsidRPr="00C24417">
        <w:rPr>
          <w:rFonts w:asciiTheme="minorHAnsi" w:hAnsiTheme="minorHAnsi"/>
          <w:i/>
        </w:rPr>
        <w:t xml:space="preserve">New Towns in the New World: Images and Perceptions of the Nineteenth century Urban Frontier, </w:t>
      </w:r>
      <w:r w:rsidRPr="00C24417">
        <w:rPr>
          <w:rFonts w:asciiTheme="minorHAnsi" w:hAnsiTheme="minorHAnsi"/>
        </w:rPr>
        <w:t>New York, 1990, pp.139-62.</w:t>
      </w:r>
    </w:p>
    <w:p w:rsidR="002A37EC" w:rsidRDefault="002A37EC" w:rsidP="002A37EC">
      <w:pPr>
        <w:rPr>
          <w:rFonts w:asciiTheme="minorHAnsi" w:hAnsiTheme="minorHAnsi"/>
        </w:rPr>
      </w:pPr>
    </w:p>
    <w:p w:rsidR="002A37EC" w:rsidRPr="00C24417" w:rsidRDefault="002A37EC" w:rsidP="002A37EC">
      <w:pPr>
        <w:rPr>
          <w:rFonts w:asciiTheme="minorHAnsi" w:hAnsiTheme="minorHAnsi"/>
          <w:b/>
        </w:rPr>
      </w:pPr>
      <w:r w:rsidRPr="00C24417">
        <w:rPr>
          <w:rFonts w:asciiTheme="minorHAnsi" w:hAnsiTheme="minorHAnsi"/>
          <w:b/>
        </w:rPr>
        <w:t>Week 11: Urban Society</w:t>
      </w:r>
    </w:p>
    <w:p w:rsidR="002A37EC" w:rsidRDefault="002A37EC" w:rsidP="002A37EC">
      <w:pPr>
        <w:rPr>
          <w:rFonts w:asciiTheme="minorHAnsi" w:hAnsiTheme="minorHAnsi"/>
        </w:rPr>
      </w:pPr>
    </w:p>
    <w:p w:rsidR="002A37EC" w:rsidRPr="00C24417" w:rsidRDefault="002A37EC" w:rsidP="002A37EC">
      <w:pPr>
        <w:rPr>
          <w:rFonts w:asciiTheme="minorHAnsi" w:hAnsiTheme="minorHAnsi"/>
        </w:rPr>
      </w:pPr>
      <w:r w:rsidRPr="00C24417">
        <w:rPr>
          <w:rFonts w:asciiTheme="minorHAnsi" w:hAnsiTheme="minorHAnsi"/>
        </w:rPr>
        <w:t xml:space="preserve">Reading: Caroline Daley, ‘Modernity, Consumption and Leisure’, in Giselle Byrnes ed., </w:t>
      </w:r>
      <w:r w:rsidRPr="00C24417">
        <w:rPr>
          <w:rFonts w:asciiTheme="minorHAnsi" w:hAnsiTheme="minorHAnsi"/>
          <w:i/>
        </w:rPr>
        <w:t>New Oxford History of New Zealand</w:t>
      </w:r>
      <w:r w:rsidRPr="00C24417">
        <w:rPr>
          <w:rFonts w:asciiTheme="minorHAnsi" w:hAnsiTheme="minorHAnsi"/>
        </w:rPr>
        <w:t xml:space="preserve">, South Melbourne, 2009,pp. 423-446. </w:t>
      </w:r>
    </w:p>
    <w:p w:rsidR="002A37EC" w:rsidRDefault="002A37EC" w:rsidP="002A37EC">
      <w:pPr>
        <w:rPr>
          <w:rFonts w:asciiTheme="minorHAnsi" w:hAnsiTheme="minorHAnsi"/>
          <w:b/>
        </w:rPr>
      </w:pPr>
    </w:p>
    <w:p w:rsidR="002A37EC" w:rsidRPr="00C24417" w:rsidRDefault="002A37EC" w:rsidP="002A37EC">
      <w:pPr>
        <w:rPr>
          <w:rFonts w:asciiTheme="minorHAnsi" w:hAnsiTheme="minorHAnsi"/>
          <w:b/>
        </w:rPr>
      </w:pPr>
      <w:r w:rsidRPr="00C24417">
        <w:rPr>
          <w:rFonts w:asciiTheme="minorHAnsi" w:hAnsiTheme="minorHAnsi"/>
          <w:b/>
        </w:rPr>
        <w:t>Week 12: Conclusions</w:t>
      </w:r>
    </w:p>
    <w:p w:rsidR="002A37EC" w:rsidRDefault="002A37EC" w:rsidP="002A37EC">
      <w:pPr>
        <w:rPr>
          <w:rFonts w:asciiTheme="minorHAnsi" w:hAnsiTheme="minorHAnsi"/>
        </w:rPr>
      </w:pPr>
      <w:r w:rsidRPr="00C24417">
        <w:rPr>
          <w:rFonts w:asciiTheme="minorHAnsi" w:hAnsiTheme="minorHAnsi"/>
        </w:rPr>
        <w:t>There is no reading this week. Please come prepared to discuss the course and your overview essay</w:t>
      </w:r>
      <w:r>
        <w:rPr>
          <w:rFonts w:asciiTheme="minorHAnsi" w:hAnsiTheme="minorHAnsi"/>
        </w:rPr>
        <w:t>.</w:t>
      </w:r>
    </w:p>
    <w:p w:rsidR="005F23B5" w:rsidRDefault="002A37EC"/>
    <w:sectPr w:rsidR="005F23B5" w:rsidSect="005F23B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A37EC"/>
    <w:rsid w:val="002A37EC"/>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E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Macintosh Word</Application>
  <DocSecurity>0</DocSecurity>
  <Lines>25</Lines>
  <Paragraphs>6</Paragraphs>
  <ScaleCrop>false</ScaleCrop>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Barnes</dc:creator>
  <cp:keywords/>
  <cp:lastModifiedBy>Felicity Barnes</cp:lastModifiedBy>
  <cp:revision>1</cp:revision>
  <dcterms:created xsi:type="dcterms:W3CDTF">2016-11-15T04:04:00Z</dcterms:created>
  <dcterms:modified xsi:type="dcterms:W3CDTF">2016-11-15T04:05:00Z</dcterms:modified>
</cp:coreProperties>
</file>