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3DD9" w14:textId="77777777" w:rsidR="007B790F" w:rsidRDefault="007B790F" w:rsidP="004D4D84">
      <w:pPr>
        <w:spacing w:after="120" w:line="360" w:lineRule="auto"/>
        <w:jc w:val="center"/>
      </w:pPr>
      <w:bookmarkStart w:id="0" w:name="_GoBack"/>
      <w:bookmarkEnd w:id="0"/>
    </w:p>
    <w:p w14:paraId="567E8F77" w14:textId="1ACF251B" w:rsidR="00D65D18" w:rsidRPr="00B42E5E" w:rsidRDefault="001E2314" w:rsidP="004D4D84">
      <w:pPr>
        <w:spacing w:after="120" w:line="360" w:lineRule="auto"/>
        <w:jc w:val="center"/>
        <w:rPr>
          <w:b/>
          <w:bCs/>
        </w:rPr>
      </w:pPr>
      <w:r w:rsidRPr="00B42E5E">
        <w:rPr>
          <w:b/>
          <w:bCs/>
        </w:rPr>
        <w:t>The Making and Unmaking of New Zealand</w:t>
      </w:r>
    </w:p>
    <w:p w14:paraId="5052BDB8" w14:textId="77777777" w:rsidR="00D65D18" w:rsidRPr="00B42E5E" w:rsidRDefault="00D65D18" w:rsidP="004D4D84">
      <w:pPr>
        <w:spacing w:after="120" w:line="360" w:lineRule="auto"/>
        <w:jc w:val="center"/>
      </w:pPr>
    </w:p>
    <w:p w14:paraId="11450E7E" w14:textId="77777777" w:rsidR="00306096" w:rsidRDefault="00306096" w:rsidP="004D4D84">
      <w:pPr>
        <w:spacing w:after="120" w:line="360" w:lineRule="auto"/>
        <w:jc w:val="center"/>
      </w:pPr>
      <w:r>
        <w:t>Anna Boswell</w:t>
      </w:r>
    </w:p>
    <w:p w14:paraId="2149B8AA" w14:textId="77777777" w:rsidR="00306096" w:rsidRDefault="00306096" w:rsidP="004D4D84">
      <w:pPr>
        <w:spacing w:after="120" w:line="360" w:lineRule="auto"/>
        <w:jc w:val="both"/>
      </w:pPr>
    </w:p>
    <w:p w14:paraId="243E10C6" w14:textId="77777777" w:rsidR="00306096" w:rsidRDefault="00306096" w:rsidP="004D4D84">
      <w:pPr>
        <w:spacing w:after="120" w:line="360" w:lineRule="auto"/>
        <w:jc w:val="both"/>
      </w:pPr>
    </w:p>
    <w:p w14:paraId="7C164C8D" w14:textId="55FECD72" w:rsidR="00100DCD" w:rsidRPr="0071035F" w:rsidRDefault="00F544F9" w:rsidP="004D4D84">
      <w:pPr>
        <w:spacing w:after="120" w:line="360" w:lineRule="auto"/>
        <w:jc w:val="both"/>
      </w:pPr>
      <w:r w:rsidRPr="0071035F">
        <w:t>T</w:t>
      </w:r>
      <w:r w:rsidR="00D65D18" w:rsidRPr="0071035F">
        <w:t>he nineteenth century is the century in which New Zealand</w:t>
      </w:r>
      <w:r w:rsidR="00675371">
        <w:t xml:space="preserve"> </w:t>
      </w:r>
      <w:r w:rsidR="004D4D84">
        <w:t>“</w:t>
      </w:r>
      <w:r w:rsidR="00675371">
        <w:t>happened</w:t>
      </w:r>
      <w:r w:rsidR="004D4D84">
        <w:t>”</w:t>
      </w:r>
      <w:r w:rsidRPr="0071035F">
        <w:t>.</w:t>
      </w:r>
      <w:r w:rsidR="00077268">
        <w:rPr>
          <w:rStyle w:val="EndnoteReference"/>
        </w:rPr>
        <w:endnoteReference w:id="1"/>
      </w:r>
      <w:r w:rsidRPr="0071035F">
        <w:t xml:space="preserve"> In</w:t>
      </w:r>
      <w:r w:rsidR="00F57AB4" w:rsidRPr="0071035F">
        <w:t xml:space="preserve"> the early 18</w:t>
      </w:r>
      <w:r w:rsidR="00F6751B" w:rsidRPr="0071035F">
        <w:t>00s</w:t>
      </w:r>
      <w:r w:rsidR="004D4D84">
        <w:t>—</w:t>
      </w:r>
      <w:r w:rsidR="00D65D18" w:rsidRPr="0071035F">
        <w:t xml:space="preserve">in the wake of </w:t>
      </w:r>
      <w:r w:rsidR="00A227DE">
        <w:t xml:space="preserve">James </w:t>
      </w:r>
      <w:r w:rsidR="004828A5" w:rsidRPr="0071035F">
        <w:t>Cook</w:t>
      </w:r>
      <w:r w:rsidR="00F35C21">
        <w:t>’</w:t>
      </w:r>
      <w:r w:rsidR="004828A5" w:rsidRPr="0071035F">
        <w:t xml:space="preserve">s </w:t>
      </w:r>
      <w:r w:rsidR="00F57AB4" w:rsidRPr="0071035F">
        <w:t xml:space="preserve">Pacific </w:t>
      </w:r>
      <w:r w:rsidR="00D65D18" w:rsidRPr="0071035F">
        <w:t>voyages</w:t>
      </w:r>
      <w:r w:rsidR="004D4D84">
        <w:t>,</w:t>
      </w:r>
      <w:r w:rsidR="008E31C4" w:rsidRPr="0071035F">
        <w:t xml:space="preserve"> and buoyed by </w:t>
      </w:r>
      <w:r w:rsidR="004D4D84">
        <w:t xml:space="preserve">the </w:t>
      </w:r>
      <w:r w:rsidR="006906A3" w:rsidRPr="0071035F">
        <w:t>European</w:t>
      </w:r>
      <w:r w:rsidR="00B1371C" w:rsidRPr="0071035F">
        <w:t xml:space="preserve"> occupation of</w:t>
      </w:r>
      <w:r w:rsidR="007A4EFE" w:rsidRPr="0071035F">
        <w:t xml:space="preserve"> Port Jackson</w:t>
      </w:r>
      <w:r w:rsidR="004D4D84">
        <w:t>—</w:t>
      </w:r>
      <w:r w:rsidR="00100DCD" w:rsidRPr="0071035F">
        <w:t>wil</w:t>
      </w:r>
      <w:r w:rsidR="00443672" w:rsidRPr="0071035F">
        <w:t>d and transient scattering</w:t>
      </w:r>
      <w:r w:rsidRPr="0071035F">
        <w:t xml:space="preserve">s of </w:t>
      </w:r>
      <w:r w:rsidR="00A975C8" w:rsidRPr="0071035F">
        <w:t>sealers and</w:t>
      </w:r>
      <w:r w:rsidR="00D65D18" w:rsidRPr="0071035F">
        <w:t xml:space="preserve"> whalers began to </w:t>
      </w:r>
      <w:r w:rsidR="00675371">
        <w:t>materializ</w:t>
      </w:r>
      <w:r w:rsidR="00892AAD" w:rsidRPr="0071035F">
        <w:t>e</w:t>
      </w:r>
      <w:r w:rsidR="004828A5" w:rsidRPr="0071035F">
        <w:t xml:space="preserve"> </w:t>
      </w:r>
      <w:r w:rsidR="00892AAD" w:rsidRPr="0071035F">
        <w:t xml:space="preserve">on </w:t>
      </w:r>
      <w:r w:rsidR="005F6642">
        <w:t>this</w:t>
      </w:r>
      <w:r w:rsidR="004828A5" w:rsidRPr="0071035F">
        <w:t xml:space="preserve"> country</w:t>
      </w:r>
      <w:r w:rsidR="00F35C21">
        <w:t>’</w:t>
      </w:r>
      <w:r w:rsidR="004828A5" w:rsidRPr="0071035F">
        <w:t xml:space="preserve">s </w:t>
      </w:r>
      <w:r w:rsidR="00D65D18" w:rsidRPr="0071035F">
        <w:t>coastline</w:t>
      </w:r>
      <w:r w:rsidR="004828A5" w:rsidRPr="0071035F">
        <w:t>s</w:t>
      </w:r>
      <w:r w:rsidR="00D65D18" w:rsidRPr="0071035F">
        <w:t>. By the turn of the following century, New Zealand had a</w:t>
      </w:r>
      <w:r w:rsidR="005C5322" w:rsidRPr="0071035F">
        <w:t xml:space="preserve">chieved the </w:t>
      </w:r>
      <w:r w:rsidR="00100DCD" w:rsidRPr="0071035F">
        <w:t xml:space="preserve">settled </w:t>
      </w:r>
      <w:r w:rsidR="005C5322" w:rsidRPr="0071035F">
        <w:t>respec</w:t>
      </w:r>
      <w:r w:rsidR="00443672" w:rsidRPr="0071035F">
        <w:t xml:space="preserve">tability </w:t>
      </w:r>
      <w:r w:rsidR="008E31C4" w:rsidRPr="0071035F">
        <w:t>of young nationhood. T</w:t>
      </w:r>
      <w:r w:rsidR="00A04652" w:rsidRPr="0071035F">
        <w:t>he countr</w:t>
      </w:r>
      <w:r w:rsidR="00083647" w:rsidRPr="0071035F">
        <w:t>y</w:t>
      </w:r>
      <w:r w:rsidR="005C5322" w:rsidRPr="0071035F">
        <w:t xml:space="preserve"> </w:t>
      </w:r>
      <w:r w:rsidR="00850E11" w:rsidRPr="0071035F">
        <w:t xml:space="preserve">was </w:t>
      </w:r>
      <w:r w:rsidR="002C421B" w:rsidRPr="0071035F">
        <w:t xml:space="preserve">on the verge of </w:t>
      </w:r>
      <w:r w:rsidR="00A04652" w:rsidRPr="0071035F">
        <w:t xml:space="preserve">upgrading its </w:t>
      </w:r>
      <w:r w:rsidR="002C4D7E" w:rsidRPr="0071035F">
        <w:t>status from</w:t>
      </w:r>
      <w:r w:rsidR="005C04F8" w:rsidRPr="0071035F">
        <w:t xml:space="preserve"> </w:t>
      </w:r>
      <w:r w:rsidR="002C4D7E" w:rsidRPr="0071035F">
        <w:t xml:space="preserve">that of </w:t>
      </w:r>
      <w:r w:rsidR="00B6313B" w:rsidRPr="0071035F">
        <w:t xml:space="preserve">British </w:t>
      </w:r>
      <w:r w:rsidR="00A04652" w:rsidRPr="0071035F">
        <w:t>colony to that of</w:t>
      </w:r>
      <w:r w:rsidR="005C04F8" w:rsidRPr="0071035F">
        <w:t xml:space="preserve"> d</w:t>
      </w:r>
      <w:r w:rsidR="00F6751B" w:rsidRPr="0071035F">
        <w:t>ominion</w:t>
      </w:r>
      <w:r w:rsidR="004D4D84">
        <w:t>; it</w:t>
      </w:r>
      <w:r w:rsidR="00F6751B" w:rsidRPr="0071035F">
        <w:t xml:space="preserve"> boast</w:t>
      </w:r>
      <w:r w:rsidR="00850E11" w:rsidRPr="0071035F">
        <w:t>ed</w:t>
      </w:r>
      <w:r w:rsidR="005C5322" w:rsidRPr="0071035F">
        <w:t xml:space="preserve"> a</w:t>
      </w:r>
      <w:r w:rsidR="00D65D18" w:rsidRPr="0071035F">
        <w:t xml:space="preserve"> founding</w:t>
      </w:r>
      <w:r w:rsidR="005C04F8" w:rsidRPr="0071035F">
        <w:t xml:space="preserve"> t</w:t>
      </w:r>
      <w:r w:rsidR="00D65D18" w:rsidRPr="0071035F">
        <w:t xml:space="preserve">reaty, a </w:t>
      </w:r>
      <w:r w:rsidR="007B2A12" w:rsidRPr="0071035F">
        <w:t xml:space="preserve">substantial settler majority </w:t>
      </w:r>
      <w:r w:rsidR="00B1371C" w:rsidRPr="0071035F">
        <w:t>with</w:t>
      </w:r>
      <w:r w:rsidR="007B2A12" w:rsidRPr="0071035F">
        <w:t>in a</w:t>
      </w:r>
      <w:r w:rsidR="001E2314" w:rsidRPr="0071035F">
        <w:t>n overall</w:t>
      </w:r>
      <w:r w:rsidR="007B2A12" w:rsidRPr="0071035F">
        <w:t xml:space="preserve"> populat</w:t>
      </w:r>
      <w:r w:rsidR="005C04F8" w:rsidRPr="0071035F">
        <w:t>ion of close to a million</w:t>
      </w:r>
      <w:r w:rsidR="007B2A12" w:rsidRPr="0071035F">
        <w:t>,</w:t>
      </w:r>
      <w:r w:rsidR="005C5322" w:rsidRPr="0071035F">
        <w:t xml:space="preserve"> </w:t>
      </w:r>
      <w:r w:rsidR="004828A5" w:rsidRPr="0071035F">
        <w:t>a</w:t>
      </w:r>
      <w:r w:rsidR="005C04F8" w:rsidRPr="0071035F">
        <w:t xml:space="preserve"> cluster of citie</w:t>
      </w:r>
      <w:r w:rsidR="004828A5" w:rsidRPr="0071035F">
        <w:t>s furnished with</w:t>
      </w:r>
      <w:r w:rsidR="005C5322" w:rsidRPr="0071035F">
        <w:t xml:space="preserve"> museums and universities and scientific institutes, </w:t>
      </w:r>
      <w:r w:rsidR="00100DCD" w:rsidRPr="0071035F">
        <w:t xml:space="preserve">and </w:t>
      </w:r>
      <w:r w:rsidR="00F57AB4" w:rsidRPr="0071035F">
        <w:t>an</w:t>
      </w:r>
      <w:r w:rsidR="00D65D18" w:rsidRPr="0071035F">
        <w:t xml:space="preserve"> expanding bookshelf of published histories</w:t>
      </w:r>
      <w:r w:rsidR="004E047A" w:rsidRPr="0071035F">
        <w:t xml:space="preserve"> and works of </w:t>
      </w:r>
      <w:r w:rsidR="00880A64" w:rsidRPr="0071035F">
        <w:t xml:space="preserve">a </w:t>
      </w:r>
      <w:r w:rsidR="004E047A" w:rsidRPr="0071035F">
        <w:t xml:space="preserve">literary </w:t>
      </w:r>
      <w:r w:rsidR="00880A64" w:rsidRPr="0071035F">
        <w:t>tone</w:t>
      </w:r>
      <w:r w:rsidR="00D65D18" w:rsidRPr="0071035F">
        <w:t>.</w:t>
      </w:r>
      <w:r w:rsidR="00100DCD" w:rsidRPr="0071035F">
        <w:t xml:space="preserve"> It would be a mistake, however, to suppos</w:t>
      </w:r>
      <w:r w:rsidR="00617355" w:rsidRPr="0071035F">
        <w:t>e that New Zealand</w:t>
      </w:r>
      <w:r w:rsidR="00D65D18" w:rsidRPr="0071035F">
        <w:t>—</w:t>
      </w:r>
      <w:r w:rsidR="005C5322" w:rsidRPr="0071035F">
        <w:t xml:space="preserve">seemingly </w:t>
      </w:r>
      <w:r w:rsidR="00F7684E" w:rsidRPr="0071035F">
        <w:t>design</w:t>
      </w:r>
      <w:r w:rsidR="004828A5" w:rsidRPr="0071035F">
        <w:t>ed</w:t>
      </w:r>
      <w:r w:rsidR="00F7684E" w:rsidRPr="0071035F">
        <w:t xml:space="preserve"> </w:t>
      </w:r>
      <w:r w:rsidR="005C5322" w:rsidRPr="0071035F">
        <w:t>according to</w:t>
      </w:r>
      <w:r w:rsidR="00100DCD" w:rsidRPr="0071035F">
        <w:t xml:space="preserve"> </w:t>
      </w:r>
      <w:r w:rsidR="00F7684E" w:rsidRPr="0071035F">
        <w:t xml:space="preserve">careful and </w:t>
      </w:r>
      <w:r w:rsidR="005C5322" w:rsidRPr="0071035F">
        <w:t>confident principles</w:t>
      </w:r>
      <w:r w:rsidR="00F7684E" w:rsidRPr="0071035F">
        <w:t>, with the intention that it should be</w:t>
      </w:r>
      <w:r w:rsidR="00B1371C" w:rsidRPr="0071035F">
        <w:t>come</w:t>
      </w:r>
      <w:r w:rsidR="004D4D84">
        <w:t xml:space="preserve"> a “better Britain”</w:t>
      </w:r>
      <w:r w:rsidR="005C5322" w:rsidRPr="0071035F">
        <w:t xml:space="preserve">—unfolded seamlessly </w:t>
      </w:r>
      <w:r w:rsidR="00F6751B" w:rsidRPr="0071035F">
        <w:t xml:space="preserve">and triumphantly </w:t>
      </w:r>
      <w:r w:rsidR="005C5322" w:rsidRPr="0071035F">
        <w:t>through</w:t>
      </w:r>
      <w:r w:rsidR="004D4D84">
        <w:t>out</w:t>
      </w:r>
      <w:r w:rsidR="005C5322" w:rsidRPr="0071035F">
        <w:t xml:space="preserve"> this period.</w:t>
      </w:r>
      <w:r w:rsidR="00617355" w:rsidRPr="0071035F">
        <w:t xml:space="preserve"> The settlement of an </w:t>
      </w:r>
      <w:r w:rsidR="001E2314" w:rsidRPr="0071035F">
        <w:t>already-inhabited place is</w:t>
      </w:r>
      <w:r w:rsidR="005C5322" w:rsidRPr="0071035F">
        <w:t xml:space="preserve"> as much</w:t>
      </w:r>
      <w:r w:rsidR="00554058">
        <w:t xml:space="preserve"> an imaginative business</w:t>
      </w:r>
      <w:r w:rsidR="001E2314" w:rsidRPr="0071035F">
        <w:t xml:space="preserve"> as one concerning</w:t>
      </w:r>
      <w:r w:rsidR="005C5322" w:rsidRPr="0071035F">
        <w:t xml:space="preserve"> the phy</w:t>
      </w:r>
      <w:r w:rsidR="00100DCD" w:rsidRPr="0071035F">
        <w:t xml:space="preserve">sical </w:t>
      </w:r>
      <w:r w:rsidR="002A36B3" w:rsidRPr="0071035F">
        <w:t xml:space="preserve">occupation of a territory, and </w:t>
      </w:r>
      <w:r w:rsidR="00735F57" w:rsidRPr="0071035F">
        <w:t>i</w:t>
      </w:r>
      <w:r w:rsidR="00DD4348" w:rsidRPr="0071035F">
        <w:t>t</w:t>
      </w:r>
      <w:r w:rsidR="00100DCD" w:rsidRPr="0071035F">
        <w:t xml:space="preserve"> </w:t>
      </w:r>
      <w:r w:rsidR="00675371">
        <w:t>is very much a fraught and</w:t>
      </w:r>
      <w:r w:rsidR="00B1371C" w:rsidRPr="0071035F">
        <w:t xml:space="preserve"> ongoing business</w:t>
      </w:r>
      <w:r w:rsidR="00100DCD" w:rsidRPr="0071035F">
        <w:t xml:space="preserve"> too</w:t>
      </w:r>
      <w:r w:rsidR="00E21B1F">
        <w:t>. S</w:t>
      </w:r>
      <w:r w:rsidR="00735F57" w:rsidRPr="0071035F">
        <w:t>ettlemen</w:t>
      </w:r>
      <w:r w:rsidR="00F6751B" w:rsidRPr="0071035F">
        <w:t xml:space="preserve">t </w:t>
      </w:r>
      <w:r w:rsidR="008E31C4" w:rsidRPr="0071035F">
        <w:t xml:space="preserve">is effected through </w:t>
      </w:r>
      <w:r w:rsidR="008E31C4" w:rsidRPr="0071035F">
        <w:rPr>
          <w:i/>
        </w:rPr>
        <w:t>writing</w:t>
      </w:r>
      <w:r w:rsidR="004D4D84" w:rsidRPr="004D4D84">
        <w:t xml:space="preserve"> </w:t>
      </w:r>
      <w:r w:rsidR="004D4D84" w:rsidRPr="0071035F">
        <w:t>in</w:t>
      </w:r>
      <w:r w:rsidR="004D4D84">
        <w:t xml:space="preserve"> </w:t>
      </w:r>
      <w:r w:rsidR="004D4D84" w:rsidRPr="0071035F">
        <w:t>the first instance</w:t>
      </w:r>
      <w:r w:rsidR="00E21B1F">
        <w:t>—</w:t>
      </w:r>
      <w:r w:rsidR="005519C5">
        <w:t>in</w:t>
      </w:r>
      <w:r w:rsidR="00E21B1F">
        <w:t xml:space="preserve"> </w:t>
      </w:r>
      <w:r w:rsidR="005519C5">
        <w:t xml:space="preserve">the form of maps, laws, </w:t>
      </w:r>
      <w:r w:rsidR="00554058">
        <w:t xml:space="preserve">proclamations, surveys and </w:t>
      </w:r>
      <w:r w:rsidR="005519C5">
        <w:t>land transactions</w:t>
      </w:r>
      <w:r w:rsidR="00E21B1F">
        <w:t>—</w:t>
      </w:r>
      <w:r w:rsidR="00675371">
        <w:t xml:space="preserve">which is to say that </w:t>
      </w:r>
      <w:r w:rsidR="00554058">
        <w:t xml:space="preserve">in a settler-colonial place, </w:t>
      </w:r>
      <w:r w:rsidR="004D4D84">
        <w:t>writing has “instrumental purpose”</w:t>
      </w:r>
      <w:r w:rsidR="00675371">
        <w:t xml:space="preserve"> and is </w:t>
      </w:r>
      <w:r w:rsidR="004D4D84">
        <w:t>“</w:t>
      </w:r>
      <w:r w:rsidR="00675371">
        <w:t xml:space="preserve">bound up with the imposition </w:t>
      </w:r>
      <w:r w:rsidR="004D4D84">
        <w:t>and extension of European power”</w:t>
      </w:r>
      <w:r w:rsidR="00675371">
        <w:t xml:space="preserve">, as Peter Gibbons has </w:t>
      </w:r>
      <w:r w:rsidR="00077268">
        <w:t>put it</w:t>
      </w:r>
      <w:r w:rsidR="00675371">
        <w:t xml:space="preserve"> (38)</w:t>
      </w:r>
      <w:r w:rsidR="00E21B1F">
        <w:t>. In order to secure itself, s</w:t>
      </w:r>
      <w:r w:rsidR="00675371">
        <w:t>ettlement also</w:t>
      </w:r>
      <w:r w:rsidR="008E31C4" w:rsidRPr="0071035F">
        <w:t xml:space="preserve"> </w:t>
      </w:r>
      <w:r w:rsidR="00F6751B" w:rsidRPr="0071035F">
        <w:t xml:space="preserve">requires </w:t>
      </w:r>
      <w:r w:rsidR="00892AAD" w:rsidRPr="0071035F">
        <w:t xml:space="preserve">frequent and </w:t>
      </w:r>
      <w:r w:rsidR="00F7684E" w:rsidRPr="0071035F">
        <w:t>habitual</w:t>
      </w:r>
      <w:r w:rsidR="00892AAD" w:rsidRPr="0071035F">
        <w:t xml:space="preserve"> </w:t>
      </w:r>
      <w:r w:rsidR="00F6751B" w:rsidRPr="0071035F">
        <w:t>re</w:t>
      </w:r>
      <w:r w:rsidR="00BC10FE" w:rsidRPr="0071035F">
        <w:t>statement</w:t>
      </w:r>
      <w:r w:rsidR="00E21B1F">
        <w:t xml:space="preserve">, </w:t>
      </w:r>
      <w:r w:rsidR="008E31C4" w:rsidRPr="0071035F">
        <w:t xml:space="preserve">with </w:t>
      </w:r>
      <w:r w:rsidR="001E2314" w:rsidRPr="0071035F">
        <w:t xml:space="preserve">these restatements in turn </w:t>
      </w:r>
      <w:r w:rsidR="008E31C4" w:rsidRPr="0071035F">
        <w:t>acquiring</w:t>
      </w:r>
      <w:r w:rsidR="00892AAD" w:rsidRPr="0071035F">
        <w:t xml:space="preserve"> and </w:t>
      </w:r>
      <w:r w:rsidR="008E31C4" w:rsidRPr="0071035F">
        <w:t>requiring</w:t>
      </w:r>
      <w:r w:rsidR="001E2314" w:rsidRPr="0071035F">
        <w:t xml:space="preserve"> new </w:t>
      </w:r>
      <w:r w:rsidR="00443672" w:rsidRPr="0071035F">
        <w:t>inflect</w:t>
      </w:r>
      <w:r w:rsidR="001E2314" w:rsidRPr="0071035F">
        <w:t>ions</w:t>
      </w:r>
      <w:r w:rsidR="00F6751B" w:rsidRPr="0071035F">
        <w:t xml:space="preserve"> </w:t>
      </w:r>
      <w:r w:rsidR="001E2314" w:rsidRPr="0071035F">
        <w:t xml:space="preserve">over time </w:t>
      </w:r>
      <w:r w:rsidR="00F6751B" w:rsidRPr="0071035F">
        <w:t xml:space="preserve">as </w:t>
      </w:r>
      <w:r w:rsidR="003F053D" w:rsidRPr="0071035F">
        <w:t xml:space="preserve">cultural climates change and </w:t>
      </w:r>
      <w:r w:rsidR="0071035F">
        <w:t>settler-I</w:t>
      </w:r>
      <w:r w:rsidR="00F6751B" w:rsidRPr="0071035F">
        <w:t>ndigenous relations shift</w:t>
      </w:r>
      <w:r w:rsidR="00100DCD" w:rsidRPr="0071035F">
        <w:t>.</w:t>
      </w:r>
      <w:r w:rsidR="00B1371C" w:rsidRPr="0071035F">
        <w:t xml:space="preserve"> In light of this</w:t>
      </w:r>
      <w:r w:rsidR="00842265">
        <w:t>, textual trace</w:t>
      </w:r>
      <w:r w:rsidR="00100DCD" w:rsidRPr="0071035F">
        <w:t>s</w:t>
      </w:r>
      <w:r w:rsidR="001E2314" w:rsidRPr="0071035F">
        <w:t xml:space="preserve"> from the</w:t>
      </w:r>
      <w:r w:rsidR="005C5322" w:rsidRPr="0071035F">
        <w:t xml:space="preserve"> </w:t>
      </w:r>
      <w:r w:rsidR="006906A3" w:rsidRPr="0071035F">
        <w:t>initial</w:t>
      </w:r>
      <w:r w:rsidR="00F6751B" w:rsidRPr="0071035F">
        <w:t xml:space="preserve"> </w:t>
      </w:r>
      <w:r w:rsidR="005C5322" w:rsidRPr="0071035F">
        <w:t>period</w:t>
      </w:r>
      <w:r w:rsidR="006906A3" w:rsidRPr="0071035F">
        <w:t>s of contact and settlement</w:t>
      </w:r>
      <w:r w:rsidR="005C5322" w:rsidRPr="0071035F">
        <w:t>—the volumes on that bookshelf—</w:t>
      </w:r>
      <w:r w:rsidR="0057192D" w:rsidRPr="0071035F">
        <w:t xml:space="preserve">might be expected to </w:t>
      </w:r>
      <w:r w:rsidR="008E50B6" w:rsidRPr="0071035F">
        <w:lastRenderedPageBreak/>
        <w:t>provide</w:t>
      </w:r>
      <w:r w:rsidR="008E31C4" w:rsidRPr="0071035F">
        <w:t xml:space="preserve"> view-shafts onto</w:t>
      </w:r>
      <w:r w:rsidR="004E0DCD" w:rsidRPr="0071035F">
        <w:t xml:space="preserve"> </w:t>
      </w:r>
      <w:r w:rsidR="008E31C4" w:rsidRPr="0071035F">
        <w:t xml:space="preserve">the </w:t>
      </w:r>
      <w:r w:rsidR="00A04652" w:rsidRPr="0071035F">
        <w:t>dreamwork and</w:t>
      </w:r>
      <w:r w:rsidR="004828A5" w:rsidRPr="0071035F">
        <w:t xml:space="preserve"> </w:t>
      </w:r>
      <w:r w:rsidR="005C5322" w:rsidRPr="0071035F">
        <w:t xml:space="preserve">uncertainties </w:t>
      </w:r>
      <w:r w:rsidR="008E31C4" w:rsidRPr="0071035F">
        <w:t>that</w:t>
      </w:r>
      <w:r w:rsidR="004828A5" w:rsidRPr="0071035F">
        <w:t xml:space="preserve"> </w:t>
      </w:r>
      <w:r w:rsidR="00BC10FE" w:rsidRPr="0071035F">
        <w:t xml:space="preserve">have </w:t>
      </w:r>
      <w:r w:rsidR="004828A5" w:rsidRPr="0071035F">
        <w:t>underpinned</w:t>
      </w:r>
      <w:r w:rsidR="00850E11" w:rsidRPr="0071035F">
        <w:t xml:space="preserve"> </w:t>
      </w:r>
      <w:r w:rsidR="008D0922">
        <w:t>the idea of New Zealand</w:t>
      </w:r>
      <w:r w:rsidR="0072158E">
        <w:t xml:space="preserve"> from the beginning</w:t>
      </w:r>
      <w:r w:rsidR="00935419" w:rsidRPr="0071035F">
        <w:t>,</w:t>
      </w:r>
      <w:r w:rsidR="00A04652" w:rsidRPr="0071035F">
        <w:t xml:space="preserve"> and</w:t>
      </w:r>
      <w:r w:rsidR="008E31C4" w:rsidRPr="0071035F">
        <w:t xml:space="preserve"> that</w:t>
      </w:r>
      <w:r w:rsidR="00100DCD" w:rsidRPr="0071035F">
        <w:t xml:space="preserve"> persist </w:t>
      </w:r>
      <w:r w:rsidR="004E047A" w:rsidRPr="0071035F">
        <w:t>with</w:t>
      </w:r>
      <w:r w:rsidR="00100DCD" w:rsidRPr="0071035F">
        <w:t xml:space="preserve">in </w:t>
      </w:r>
      <w:r w:rsidR="00077268">
        <w:t>and characteriz</w:t>
      </w:r>
      <w:r w:rsidR="004828A5" w:rsidRPr="0071035F">
        <w:t xml:space="preserve">e </w:t>
      </w:r>
      <w:r w:rsidR="00100DCD" w:rsidRPr="0071035F">
        <w:t>the present.</w:t>
      </w:r>
      <w:r w:rsidR="005C5322" w:rsidRPr="0071035F">
        <w:t xml:space="preserve"> </w:t>
      </w:r>
    </w:p>
    <w:p w14:paraId="7E83A824" w14:textId="7A94F5DE" w:rsidR="00864ED0" w:rsidRPr="0071035F" w:rsidRDefault="00A4547D" w:rsidP="004D4D84">
      <w:pPr>
        <w:spacing w:after="120" w:line="360" w:lineRule="auto"/>
        <w:ind w:firstLine="720"/>
        <w:jc w:val="both"/>
      </w:pPr>
      <w:r>
        <w:t xml:space="preserve">Drawing on my </w:t>
      </w:r>
      <w:r w:rsidRPr="0071035F">
        <w:t>experience</w:t>
      </w:r>
      <w:r>
        <w:t xml:space="preserve"> in teaching and constructing a range of undergraduate courses at the University of Auckland</w:t>
      </w:r>
      <w:r w:rsidR="00A227DE">
        <w:t>,</w:t>
      </w:r>
      <w:r>
        <w:t xml:space="preserve"> t</w:t>
      </w:r>
      <w:r w:rsidR="00B675E3" w:rsidRPr="0071035F">
        <w:t xml:space="preserve">his chapter </w:t>
      </w:r>
      <w:r>
        <w:t>s</w:t>
      </w:r>
      <w:r w:rsidRPr="0071035F">
        <w:t>urvey</w:t>
      </w:r>
      <w:r>
        <w:t>s</w:t>
      </w:r>
      <w:r w:rsidR="004D4D84">
        <w:t xml:space="preserve"> key pre-twentieth-</w:t>
      </w:r>
      <w:r w:rsidRPr="0071035F">
        <w:t>century New Zealand texts</w:t>
      </w:r>
      <w:r>
        <w:t xml:space="preserve"> and points</w:t>
      </w:r>
      <w:r w:rsidRPr="0071035F">
        <w:t xml:space="preserve"> towards possible pedagogical strategies for their use</w:t>
      </w:r>
      <w:r>
        <w:t>. It e</w:t>
      </w:r>
      <w:r w:rsidR="004E047A" w:rsidRPr="0071035F">
        <w:t>ncompass</w:t>
      </w:r>
      <w:r>
        <w:t>es</w:t>
      </w:r>
      <w:r w:rsidR="003E2267">
        <w:t xml:space="preserve"> a broad array of</w:t>
      </w:r>
      <w:r w:rsidR="00EA38CC" w:rsidRPr="0071035F">
        <w:t xml:space="preserve"> genres</w:t>
      </w:r>
      <w:r w:rsidR="00842265">
        <w:t>, chart</w:t>
      </w:r>
      <w:r>
        <w:t>ing</w:t>
      </w:r>
      <w:r w:rsidR="00850E11" w:rsidRPr="0071035F">
        <w:t xml:space="preserve"> a trajectory through </w:t>
      </w:r>
      <w:r w:rsidR="005D7E97" w:rsidRPr="0071035F">
        <w:t xml:space="preserve">the work of </w:t>
      </w:r>
      <w:r w:rsidR="00EA38CC" w:rsidRPr="0071035F">
        <w:t>writer</w:t>
      </w:r>
      <w:r w:rsidR="00F57AB4" w:rsidRPr="0071035F">
        <w:t xml:space="preserve">s </w:t>
      </w:r>
      <w:r w:rsidR="003F053D" w:rsidRPr="0071035F">
        <w:t xml:space="preserve">who </w:t>
      </w:r>
      <w:r w:rsidR="004E0DCD" w:rsidRPr="0071035F">
        <w:t>grapple</w:t>
      </w:r>
      <w:r w:rsidR="00F57AB4" w:rsidRPr="0071035F">
        <w:t xml:space="preserve"> with tensions </w:t>
      </w:r>
      <w:r w:rsidR="004E047A" w:rsidRPr="0071035F">
        <w:t>arising from the collision of</w:t>
      </w:r>
      <w:r w:rsidR="00F57AB4" w:rsidRPr="0071035F">
        <w:t xml:space="preserve"> Enlightenment ideal</w:t>
      </w:r>
      <w:r w:rsidR="004E047A" w:rsidRPr="0071035F">
        <w:t>s of progress with</w:t>
      </w:r>
      <w:r w:rsidR="0071035F">
        <w:t xml:space="preserve"> I</w:t>
      </w:r>
      <w:r w:rsidR="00BC10FE" w:rsidRPr="0071035F">
        <w:t>ndigenous presenc</w:t>
      </w:r>
      <w:r w:rsidR="004E047A" w:rsidRPr="0071035F">
        <w:t>e</w:t>
      </w:r>
      <w:r w:rsidR="008E31C4" w:rsidRPr="0071035F">
        <w:t>s</w:t>
      </w:r>
      <w:r w:rsidR="004E047A" w:rsidRPr="0071035F">
        <w:t>.</w:t>
      </w:r>
      <w:r w:rsidR="00CD3B55" w:rsidRPr="0071035F">
        <w:t xml:space="preserve"> </w:t>
      </w:r>
      <w:r w:rsidR="005B493B">
        <w:t>Among other things, t</w:t>
      </w:r>
      <w:r w:rsidR="003E2267">
        <w:t>hese</w:t>
      </w:r>
      <w:r w:rsidR="00892AAD" w:rsidRPr="0071035F">
        <w:t xml:space="preserve"> </w:t>
      </w:r>
      <w:r w:rsidR="005D7E97" w:rsidRPr="0071035F">
        <w:t>writer</w:t>
      </w:r>
      <w:r w:rsidR="003E2267">
        <w:t>s</w:t>
      </w:r>
      <w:r w:rsidR="005D7E97" w:rsidRPr="0071035F">
        <w:t xml:space="preserve"> </w:t>
      </w:r>
      <w:r w:rsidR="00B42E5E">
        <w:t>document</w:t>
      </w:r>
      <w:r w:rsidR="004E047A" w:rsidRPr="0071035F">
        <w:t xml:space="preserve"> </w:t>
      </w:r>
      <w:r w:rsidR="00072651" w:rsidRPr="0071035F">
        <w:t>patter</w:t>
      </w:r>
      <w:r w:rsidR="0071035F">
        <w:t xml:space="preserve">ns of engagement between </w:t>
      </w:r>
      <w:r w:rsidR="0036225E">
        <w:t xml:space="preserve">Europeans and </w:t>
      </w:r>
      <w:r w:rsidR="0071035F">
        <w:t>Mā</w:t>
      </w:r>
      <w:r w:rsidR="008D0922">
        <w:t>ori,</w:t>
      </w:r>
      <w:r w:rsidR="00072651" w:rsidRPr="0071035F">
        <w:t xml:space="preserve"> </w:t>
      </w:r>
      <w:r w:rsidR="004E047A" w:rsidRPr="0071035F">
        <w:t xml:space="preserve">the </w:t>
      </w:r>
      <w:r w:rsidR="00072651" w:rsidRPr="0071035F">
        <w:t xml:space="preserve">foundational </w:t>
      </w:r>
      <w:r w:rsidR="004E047A" w:rsidRPr="0071035F">
        <w:t>role of violence in the founding of a n</w:t>
      </w:r>
      <w:r w:rsidR="00BD6E45" w:rsidRPr="0071035F">
        <w:t>ew place,</w:t>
      </w:r>
      <w:r w:rsidR="004E047A" w:rsidRPr="0071035F">
        <w:t xml:space="preserve"> </w:t>
      </w:r>
      <w:r w:rsidR="00BD6E45" w:rsidRPr="0071035F">
        <w:t xml:space="preserve">and </w:t>
      </w:r>
      <w:r w:rsidR="00DD4348" w:rsidRPr="0071035F">
        <w:t>anxi</w:t>
      </w:r>
      <w:r w:rsidR="008F1836">
        <w:t>eties about the land</w:t>
      </w:r>
      <w:r w:rsidR="00BC10FE" w:rsidRPr="0071035F">
        <w:t xml:space="preserve"> and its </w:t>
      </w:r>
      <w:r w:rsidR="004E047A" w:rsidRPr="0071035F">
        <w:t>trans</w:t>
      </w:r>
      <w:r w:rsidR="00BC10FE" w:rsidRPr="0071035F">
        <w:t>formation</w:t>
      </w:r>
      <w:r w:rsidR="00BD6E45" w:rsidRPr="0071035F">
        <w:t xml:space="preserve">. Aware of their </w:t>
      </w:r>
      <w:r w:rsidR="006906A3" w:rsidRPr="0071035F">
        <w:t>own position</w:t>
      </w:r>
      <w:r w:rsidR="00BD6E45" w:rsidRPr="0071035F">
        <w:t xml:space="preserve"> as </w:t>
      </w:r>
      <w:r w:rsidR="000C0910" w:rsidRPr="0071035F">
        <w:t>witnesses to history-in-the-</w:t>
      </w:r>
      <w:r w:rsidR="003E2267">
        <w:t>making, they</w:t>
      </w:r>
      <w:r w:rsidR="00BD6E45" w:rsidRPr="0071035F">
        <w:t xml:space="preserve"> are kee</w:t>
      </w:r>
      <w:r w:rsidR="005B493B">
        <w:t>nly interested</w:t>
      </w:r>
      <w:r w:rsidR="004E047A" w:rsidRPr="0071035F">
        <w:t xml:space="preserve"> </w:t>
      </w:r>
      <w:r w:rsidR="005B493B">
        <w:t>not just in</w:t>
      </w:r>
      <w:r w:rsidR="00BD6E45" w:rsidRPr="0071035F">
        <w:t xml:space="preserve"> the </w:t>
      </w:r>
      <w:r w:rsidR="00F544F9" w:rsidRPr="0071035F">
        <w:t xml:space="preserve">present and the </w:t>
      </w:r>
      <w:r w:rsidR="000C0910" w:rsidRPr="0071035F">
        <w:t>recent past</w:t>
      </w:r>
      <w:r w:rsidR="005B493B">
        <w:t xml:space="preserve"> but in</w:t>
      </w:r>
      <w:r w:rsidR="004E047A" w:rsidRPr="0071035F">
        <w:t xml:space="preserve"> the future, too—</w:t>
      </w:r>
      <w:r w:rsidR="005B493B">
        <w:t>in</w:t>
      </w:r>
      <w:r w:rsidR="00BD6E45" w:rsidRPr="0071035F">
        <w:t xml:space="preserve"> what</w:t>
      </w:r>
      <w:r w:rsidR="004E047A" w:rsidRPr="0071035F">
        <w:t xml:space="preserve"> </w:t>
      </w:r>
      <w:r w:rsidR="00CD3B55" w:rsidRPr="0071035F">
        <w:t>the</w:t>
      </w:r>
      <w:r w:rsidR="004E047A" w:rsidRPr="0071035F">
        <w:t xml:space="preserve"> </w:t>
      </w:r>
      <w:r w:rsidR="00CD3B55" w:rsidRPr="0071035F">
        <w:t xml:space="preserve">prospective New Zealand </w:t>
      </w:r>
      <w:r w:rsidR="00B42E5E">
        <w:t>might look like,</w:t>
      </w:r>
      <w:r w:rsidR="00BD6E45" w:rsidRPr="0071035F">
        <w:t xml:space="preserve"> </w:t>
      </w:r>
      <w:r w:rsidR="00BB677D">
        <w:t xml:space="preserve">in </w:t>
      </w:r>
      <w:r w:rsidR="00866C86" w:rsidRPr="0071035F">
        <w:t>how viable this</w:t>
      </w:r>
      <w:r w:rsidR="00CD3B55" w:rsidRPr="0071035F">
        <w:t xml:space="preserve"> prospect</w:t>
      </w:r>
      <w:r w:rsidR="004E047A" w:rsidRPr="0071035F">
        <w:t xml:space="preserve"> is, </w:t>
      </w:r>
      <w:r w:rsidR="00CD3B55" w:rsidRPr="0071035F">
        <w:t xml:space="preserve">and </w:t>
      </w:r>
      <w:r w:rsidR="00BB677D">
        <w:t xml:space="preserve">in </w:t>
      </w:r>
      <w:r w:rsidR="004E047A" w:rsidRPr="0071035F">
        <w:t xml:space="preserve">the cost of collateral damage </w:t>
      </w:r>
      <w:r w:rsidR="00B6313B" w:rsidRPr="0071035F">
        <w:t>inflict</w:t>
      </w:r>
      <w:r w:rsidR="004E047A" w:rsidRPr="0071035F">
        <w:t>ed on the way.</w:t>
      </w:r>
      <w:r w:rsidR="00CD3B55" w:rsidRPr="0071035F">
        <w:t xml:space="preserve"> </w:t>
      </w:r>
      <w:r w:rsidR="00880A64" w:rsidRPr="0071035F">
        <w:t xml:space="preserve">As </w:t>
      </w:r>
      <w:r w:rsidR="00866C86" w:rsidRPr="0071035F">
        <w:t xml:space="preserve">many of </w:t>
      </w:r>
      <w:r w:rsidR="00880A64" w:rsidRPr="0071035F">
        <w:t>t</w:t>
      </w:r>
      <w:r w:rsidR="00CD3B55" w:rsidRPr="0071035F">
        <w:t>he</w:t>
      </w:r>
      <w:r w:rsidR="00F544F9" w:rsidRPr="0071035F">
        <w:t>se writers</w:t>
      </w:r>
      <w:r w:rsidR="00CD3B55" w:rsidRPr="0071035F">
        <w:t xml:space="preserve"> reveal</w:t>
      </w:r>
      <w:r w:rsidR="00880A64" w:rsidRPr="0071035F">
        <w:t>,</w:t>
      </w:r>
      <w:r w:rsidR="00CD3B55" w:rsidRPr="0071035F">
        <w:t xml:space="preserve"> the nineteenth century was a</w:t>
      </w:r>
      <w:r w:rsidR="0071035F">
        <w:t xml:space="preserve"> time of massive upheaval for Mā</w:t>
      </w:r>
      <w:r w:rsidR="00C6305F">
        <w:t>ori</w:t>
      </w:r>
      <w:r w:rsidR="00D91604">
        <w:t>,</w:t>
      </w:r>
      <w:r w:rsidR="00CD3B55" w:rsidRPr="0071035F">
        <w:t xml:space="preserve"> </w:t>
      </w:r>
      <w:r w:rsidR="003103CA">
        <w:t>characteriz</w:t>
      </w:r>
      <w:r w:rsidR="00306096">
        <w:t xml:space="preserve">ed by </w:t>
      </w:r>
      <w:r w:rsidR="004D4D84">
        <w:t xml:space="preserve">an </w:t>
      </w:r>
      <w:r w:rsidR="00CD3B55" w:rsidRPr="0071035F">
        <w:t>e</w:t>
      </w:r>
      <w:r w:rsidR="007A1033" w:rsidRPr="0071035F">
        <w:t xml:space="preserve">scalation of </w:t>
      </w:r>
      <w:r w:rsidR="00A227DE">
        <w:t>inter-</w:t>
      </w:r>
      <w:r w:rsidR="007A1033" w:rsidRPr="0071035F">
        <w:t xml:space="preserve">tribal warfare, </w:t>
      </w:r>
      <w:r w:rsidR="00306096">
        <w:t>s</w:t>
      </w:r>
      <w:r w:rsidR="00CD3B55" w:rsidRPr="0071035F">
        <w:t>e</w:t>
      </w:r>
      <w:r w:rsidR="007A1033" w:rsidRPr="0071035F">
        <w:t xml:space="preserve">vere population decline, and </w:t>
      </w:r>
      <w:r w:rsidR="00CD3B55" w:rsidRPr="0071035F">
        <w:t>brutal</w:t>
      </w:r>
      <w:r w:rsidR="00BD6E45" w:rsidRPr="0071035F">
        <w:t xml:space="preserve"> and</w:t>
      </w:r>
      <w:r w:rsidR="00CD3B55" w:rsidRPr="0071035F">
        <w:t xml:space="preserve"> pervasive changes to e</w:t>
      </w:r>
      <w:r w:rsidR="00336176" w:rsidRPr="0071035F">
        <w:t>xisting landscapes and</w:t>
      </w:r>
      <w:r w:rsidR="00E9457B" w:rsidRPr="0071035F">
        <w:t xml:space="preserve"> </w:t>
      </w:r>
      <w:r w:rsidR="00CD3B55" w:rsidRPr="0071035F">
        <w:t>soci</w:t>
      </w:r>
      <w:r w:rsidR="005519C5">
        <w:t>al</w:t>
      </w:r>
      <w:r w:rsidR="00E9457B" w:rsidRPr="0071035F">
        <w:t xml:space="preserve"> </w:t>
      </w:r>
      <w:r w:rsidR="00CD3B55" w:rsidRPr="0071035F">
        <w:t xml:space="preserve">structures. </w:t>
      </w:r>
      <w:r w:rsidR="00E366B5">
        <w:t>They</w:t>
      </w:r>
      <w:r w:rsidR="007F6F0F" w:rsidRPr="0071035F">
        <w:t xml:space="preserve"> also signal</w:t>
      </w:r>
      <w:r w:rsidR="00072651" w:rsidRPr="0071035F">
        <w:t xml:space="preserve"> that </w:t>
      </w:r>
      <w:r w:rsidR="001E2314" w:rsidRPr="0071035F">
        <w:t xml:space="preserve">we cannot expect to </w:t>
      </w:r>
      <w:r w:rsidR="007A1033" w:rsidRPr="0071035F">
        <w:t>recover</w:t>
      </w:r>
      <w:r w:rsidR="00B1371C" w:rsidRPr="0071035F">
        <w:t xml:space="preserve"> </w:t>
      </w:r>
      <w:r w:rsidR="004D4D84">
        <w:t>nineteenth-</w:t>
      </w:r>
      <w:r w:rsidR="0071035F">
        <w:t>century Mā</w:t>
      </w:r>
      <w:r w:rsidR="00072651" w:rsidRPr="0071035F">
        <w:t xml:space="preserve">ori experience </w:t>
      </w:r>
      <w:r w:rsidR="00CD3B55" w:rsidRPr="0071035F">
        <w:t>through s</w:t>
      </w:r>
      <w:r w:rsidR="00072651" w:rsidRPr="0071035F">
        <w:t>tan</w:t>
      </w:r>
      <w:r w:rsidR="000C0910" w:rsidRPr="0071035F">
        <w:t>dard revisionist practices</w:t>
      </w:r>
      <w:r w:rsidR="005D2B7E" w:rsidRPr="0071035F">
        <w:t>, since</w:t>
      </w:r>
      <w:r w:rsidR="005B4748" w:rsidRPr="0071035F">
        <w:t xml:space="preserve"> </w:t>
      </w:r>
      <w:r w:rsidR="00CD3B55" w:rsidRPr="0071035F">
        <w:t xml:space="preserve">understandings of </w:t>
      </w:r>
      <w:r w:rsidR="00195785" w:rsidRPr="0071035F">
        <w:t xml:space="preserve">this period </w:t>
      </w:r>
      <w:r w:rsidR="007F6F0F" w:rsidRPr="0071035F">
        <w:t xml:space="preserve">held by </w:t>
      </w:r>
      <w:r w:rsidR="007F6F0F" w:rsidRPr="00A227DE">
        <w:t>iwi</w:t>
      </w:r>
      <w:r w:rsidR="007F6F0F" w:rsidRPr="0071035F">
        <w:t xml:space="preserve"> </w:t>
      </w:r>
      <w:r w:rsidR="005519C5">
        <w:t>(</w:t>
      </w:r>
      <w:r w:rsidR="0036225E">
        <w:t>tribal group</w:t>
      </w:r>
      <w:r w:rsidR="005519C5">
        <w:t xml:space="preserve">s) </w:t>
      </w:r>
      <w:r w:rsidR="00BB677D">
        <w:t xml:space="preserve">are unlikely to </w:t>
      </w:r>
      <w:r w:rsidR="008E50B6" w:rsidRPr="0071035F">
        <w:t>map neatly onto European ones</w:t>
      </w:r>
      <w:r w:rsidR="00CD3B55" w:rsidRPr="0071035F">
        <w:t>.</w:t>
      </w:r>
      <w:r w:rsidR="00072651" w:rsidRPr="0071035F">
        <w:t xml:space="preserve"> </w:t>
      </w:r>
      <w:r w:rsidR="00F57AB4" w:rsidRPr="0071035F">
        <w:t xml:space="preserve">The chapter concludes by </w:t>
      </w:r>
      <w:r w:rsidR="005F6642">
        <w:t>pointing towards</w:t>
      </w:r>
      <w:r w:rsidR="002A36B3" w:rsidRPr="0071035F">
        <w:t xml:space="preserve"> </w:t>
      </w:r>
      <w:r w:rsidR="00757770" w:rsidRPr="0071035F">
        <w:t xml:space="preserve">recent </w:t>
      </w:r>
      <w:r w:rsidR="00DC62B2" w:rsidRPr="0071035F">
        <w:t xml:space="preserve">cultural productions and </w:t>
      </w:r>
      <w:r w:rsidR="002A36B3" w:rsidRPr="0071035F">
        <w:t>critical-creative project</w:t>
      </w:r>
      <w:r w:rsidR="00866C86" w:rsidRPr="0071035F">
        <w:t xml:space="preserve">s </w:t>
      </w:r>
      <w:r w:rsidR="00FA0657" w:rsidRPr="0071035F">
        <w:t>that</w:t>
      </w:r>
      <w:r w:rsidR="003F053D" w:rsidRPr="0071035F">
        <w:t xml:space="preserve"> attest to</w:t>
      </w:r>
      <w:r w:rsidR="00935419" w:rsidRPr="0071035F">
        <w:t xml:space="preserve"> </w:t>
      </w:r>
      <w:r w:rsidR="002A36B3" w:rsidRPr="0071035F">
        <w:t>unfinished business</w:t>
      </w:r>
      <w:r w:rsidR="003F053D" w:rsidRPr="0071035F">
        <w:t xml:space="preserve"> </w:t>
      </w:r>
      <w:r w:rsidR="002A36B3" w:rsidRPr="0071035F">
        <w:t xml:space="preserve">with </w:t>
      </w:r>
      <w:r w:rsidR="000C0910" w:rsidRPr="0071035F">
        <w:t xml:space="preserve">this </w:t>
      </w:r>
      <w:r w:rsidR="00866C86" w:rsidRPr="0071035F">
        <w:t>phase</w:t>
      </w:r>
      <w:r w:rsidR="000C0910" w:rsidRPr="0071035F">
        <w:t xml:space="preserve"> of New Zealand</w:t>
      </w:r>
      <w:r w:rsidR="00F35C21">
        <w:t>’</w:t>
      </w:r>
      <w:r w:rsidR="000C0910" w:rsidRPr="0071035F">
        <w:t>s past</w:t>
      </w:r>
      <w:r w:rsidR="00F57AB4" w:rsidRPr="0071035F">
        <w:t>.</w:t>
      </w:r>
      <w:r w:rsidR="00BD6E45" w:rsidRPr="0071035F">
        <w:t xml:space="preserve"> </w:t>
      </w:r>
    </w:p>
    <w:p w14:paraId="1BD67513" w14:textId="6E4EA172" w:rsidR="00DC7643" w:rsidRPr="0071035F" w:rsidRDefault="00F2713C" w:rsidP="004D4D84">
      <w:pPr>
        <w:spacing w:after="120" w:line="360" w:lineRule="auto"/>
        <w:ind w:firstLine="720"/>
        <w:jc w:val="both"/>
      </w:pPr>
      <w:r w:rsidRPr="0071035F">
        <w:t>Arrival</w:t>
      </w:r>
      <w:r w:rsidR="00DC62B2" w:rsidRPr="0071035F">
        <w:t xml:space="preserve"> scenes </w:t>
      </w:r>
      <w:r w:rsidR="00842265">
        <w:t>constitute</w:t>
      </w:r>
      <w:r w:rsidR="00E9457B" w:rsidRPr="0071035F">
        <w:t xml:space="preserve"> </w:t>
      </w:r>
      <w:r w:rsidR="00DC62B2" w:rsidRPr="0071035F">
        <w:t xml:space="preserve">important </w:t>
      </w:r>
      <w:r w:rsidR="00E9457B" w:rsidRPr="0071035F">
        <w:t>points of departure</w:t>
      </w:r>
      <w:r w:rsidR="00B524E8">
        <w:t xml:space="preserve"> in</w:t>
      </w:r>
      <w:r w:rsidR="000562C2" w:rsidRPr="0071035F">
        <w:t xml:space="preserve"> </w:t>
      </w:r>
      <w:r w:rsidR="00684ACB" w:rsidRPr="0071035F">
        <w:t>settl</w:t>
      </w:r>
      <w:r w:rsidR="00A0742D" w:rsidRPr="0071035F">
        <w:t>er-colonial contexts</w:t>
      </w:r>
      <w:r w:rsidR="00E9457B" w:rsidRPr="0071035F">
        <w:t>. As well as</w:t>
      </w:r>
      <w:r w:rsidR="00DC62B2" w:rsidRPr="0071035F">
        <w:t xml:space="preserve"> </w:t>
      </w:r>
      <w:r w:rsidR="00E9457B" w:rsidRPr="0071035F">
        <w:t>remind</w:t>
      </w:r>
      <w:r w:rsidR="00684ACB" w:rsidRPr="0071035F">
        <w:t>ing</w:t>
      </w:r>
      <w:r w:rsidR="00DC62B2" w:rsidRPr="0071035F">
        <w:t xml:space="preserve"> </w:t>
      </w:r>
      <w:r w:rsidR="00A0742D" w:rsidRPr="0071035F">
        <w:t xml:space="preserve">students </w:t>
      </w:r>
      <w:r w:rsidR="00E9457B" w:rsidRPr="0071035F">
        <w:t xml:space="preserve">that </w:t>
      </w:r>
      <w:r w:rsidR="00AB6F8B" w:rsidRPr="0071035F">
        <w:t>the onset of settlement</w:t>
      </w:r>
      <w:r w:rsidR="00DC62B2" w:rsidRPr="0071035F">
        <w:t xml:space="preserve"> is </w:t>
      </w:r>
      <w:r w:rsidR="00A0742D" w:rsidRPr="0071035F">
        <w:t xml:space="preserve">by no means </w:t>
      </w:r>
      <w:r w:rsidR="00C3131D" w:rsidRPr="0071035F">
        <w:t>a singular</w:t>
      </w:r>
      <w:r w:rsidR="00B675E3" w:rsidRPr="0071035F">
        <w:t>,</w:t>
      </w:r>
      <w:r w:rsidR="00C3131D" w:rsidRPr="0071035F">
        <w:t xml:space="preserve"> </w:t>
      </w:r>
      <w:r w:rsidR="00757770" w:rsidRPr="0071035F">
        <w:t>decisive</w:t>
      </w:r>
      <w:r w:rsidR="00B675E3" w:rsidRPr="0071035F">
        <w:t xml:space="preserve"> </w:t>
      </w:r>
      <w:r w:rsidR="00C3131D" w:rsidRPr="0071035F">
        <w:t>event</w:t>
      </w:r>
      <w:r w:rsidR="00C201C2" w:rsidRPr="0071035F">
        <w:t>, representation</w:t>
      </w:r>
      <w:r w:rsidR="007F63B3" w:rsidRPr="0071035F">
        <w:t xml:space="preserve">s of </w:t>
      </w:r>
      <w:r w:rsidR="00FA0657" w:rsidRPr="0071035F">
        <w:t>the country</w:t>
      </w:r>
      <w:r w:rsidR="00326F9B" w:rsidRPr="0071035F">
        <w:t xml:space="preserve"> from the </w:t>
      </w:r>
      <w:r w:rsidR="000562C2" w:rsidRPr="0071035F">
        <w:t xml:space="preserve">perspective of </w:t>
      </w:r>
      <w:r w:rsidR="00326F9B" w:rsidRPr="0071035F">
        <w:t>sea</w:t>
      </w:r>
      <w:r w:rsidR="00C201C2" w:rsidRPr="0071035F">
        <w:t xml:space="preserve"> </w:t>
      </w:r>
      <w:r w:rsidR="00FA0657" w:rsidRPr="0071035F">
        <w:t xml:space="preserve">and shore </w:t>
      </w:r>
      <w:r w:rsidR="00B675E3" w:rsidRPr="0071035F">
        <w:t>invert</w:t>
      </w:r>
      <w:r w:rsidR="00DC62B2" w:rsidRPr="0071035F">
        <w:t xml:space="preserve"> land-based ideas of place</w:t>
      </w:r>
      <w:r w:rsidR="00E9457B" w:rsidRPr="0071035F">
        <w:t xml:space="preserve">, </w:t>
      </w:r>
      <w:r w:rsidR="005519C5">
        <w:t>denaturaliz</w:t>
      </w:r>
      <w:r w:rsidR="00F60E96" w:rsidRPr="0071035F">
        <w:t xml:space="preserve">ing </w:t>
      </w:r>
      <w:r w:rsidR="003968D1">
        <w:t>and dislocat</w:t>
      </w:r>
      <w:r w:rsidR="00BB677D">
        <w:t xml:space="preserve">ing </w:t>
      </w:r>
      <w:r w:rsidR="00F60E96" w:rsidRPr="0071035F">
        <w:t>se</w:t>
      </w:r>
      <w:r w:rsidR="00C3131D" w:rsidRPr="0071035F">
        <w:t xml:space="preserve">ttlement as </w:t>
      </w:r>
      <w:r w:rsidR="00F7155F" w:rsidRPr="0071035F">
        <w:t xml:space="preserve">both </w:t>
      </w:r>
      <w:r w:rsidR="003A7202" w:rsidRPr="0071035F">
        <w:t>process</w:t>
      </w:r>
      <w:r w:rsidR="00C3131D" w:rsidRPr="0071035F">
        <w:t xml:space="preserve"> and outcome</w:t>
      </w:r>
      <w:r w:rsidR="00DC62B2" w:rsidRPr="0071035F">
        <w:t xml:space="preserve">. </w:t>
      </w:r>
      <w:r w:rsidR="00326F9B" w:rsidRPr="0071035F">
        <w:t xml:space="preserve">As is the case in Australia, </w:t>
      </w:r>
      <w:r w:rsidR="000F5502" w:rsidRPr="0071035F">
        <w:t xml:space="preserve">the </w:t>
      </w:r>
      <w:r w:rsidR="00F65DCE" w:rsidRPr="0071035F">
        <w:t xml:space="preserve">archive </w:t>
      </w:r>
      <w:r w:rsidR="009A43F4" w:rsidRPr="0071035F">
        <w:t>of European voyage</w:t>
      </w:r>
      <w:r w:rsidR="000F5502" w:rsidRPr="0071035F">
        <w:t xml:space="preserve"> material </w:t>
      </w:r>
      <w:r w:rsidR="00B158B9">
        <w:t>relating</w:t>
      </w:r>
      <w:r w:rsidR="00A16E58" w:rsidRPr="0071035F">
        <w:t xml:space="preserve"> to New Zealand </w:t>
      </w:r>
      <w:r w:rsidR="0072158E">
        <w:t xml:space="preserve">is extensive and relatively </w:t>
      </w:r>
      <w:r w:rsidR="00F65DCE" w:rsidRPr="0071035F">
        <w:t>accessible. S</w:t>
      </w:r>
      <w:r w:rsidR="005F6642">
        <w:t xml:space="preserve">everal </w:t>
      </w:r>
      <w:r w:rsidR="00326F9B" w:rsidRPr="0071035F">
        <w:t>accounts survive in p</w:t>
      </w:r>
      <w:r w:rsidR="00DC62B2" w:rsidRPr="0071035F">
        <w:t xml:space="preserve">ublished </w:t>
      </w:r>
      <w:r w:rsidR="00326F9B" w:rsidRPr="0071035F">
        <w:t>form, documenting experience</w:t>
      </w:r>
      <w:r w:rsidR="002626EB" w:rsidRPr="0071035F">
        <w:t xml:space="preserve">s that are of interest for </w:t>
      </w:r>
      <w:r w:rsidR="007459CC" w:rsidRPr="0071035F">
        <w:t>interweaving</w:t>
      </w:r>
      <w:r w:rsidR="00C97F93" w:rsidRPr="0071035F">
        <w:t xml:space="preserve"> </w:t>
      </w:r>
      <w:r w:rsidR="00E9457B" w:rsidRPr="0071035F">
        <w:t>literary and ethno-</w:t>
      </w:r>
      <w:r w:rsidR="00326F9B" w:rsidRPr="0071035F">
        <w:t>histor</w:t>
      </w:r>
      <w:r w:rsidR="002626EB" w:rsidRPr="0071035F">
        <w:t>iographical</w:t>
      </w:r>
      <w:r w:rsidR="00C3131D" w:rsidRPr="0071035F">
        <w:t xml:space="preserve"> </w:t>
      </w:r>
      <w:r w:rsidR="006D7D1A">
        <w:t>concerns</w:t>
      </w:r>
      <w:commentRangeStart w:id="1"/>
      <w:commentRangeStart w:id="2"/>
      <w:r w:rsidR="00326F9B" w:rsidRPr="0071035F">
        <w:t xml:space="preserve">. </w:t>
      </w:r>
      <w:commentRangeEnd w:id="1"/>
      <w:commentRangeEnd w:id="2"/>
      <w:r w:rsidR="00994FF3">
        <w:rPr>
          <w:rStyle w:val="CommentReference"/>
        </w:rPr>
        <w:commentReference w:id="1"/>
      </w:r>
      <w:r w:rsidR="004D4D84">
        <w:rPr>
          <w:rStyle w:val="CommentReference"/>
        </w:rPr>
        <w:commentReference w:id="2"/>
      </w:r>
    </w:p>
    <w:p w14:paraId="0D562775" w14:textId="005025CB" w:rsidR="003E2267" w:rsidRDefault="00DC7643" w:rsidP="004D4D84">
      <w:pPr>
        <w:spacing w:after="120" w:line="360" w:lineRule="auto"/>
        <w:ind w:firstLine="720"/>
        <w:jc w:val="both"/>
      </w:pPr>
      <w:r w:rsidRPr="0071035F">
        <w:lastRenderedPageBreak/>
        <w:t xml:space="preserve">My focus here is on two </w:t>
      </w:r>
      <w:r w:rsidR="00F35C21">
        <w:t>‘</w:t>
      </w:r>
      <w:r w:rsidR="005F6642">
        <w:t>arrival</w:t>
      </w:r>
      <w:r w:rsidR="00F35C21">
        <w:t>’</w:t>
      </w:r>
      <w:r w:rsidR="005F6642">
        <w:t xml:space="preserve"> </w:t>
      </w:r>
      <w:r w:rsidR="00B408CD" w:rsidRPr="0071035F">
        <w:t>texts that work</w:t>
      </w:r>
      <w:r w:rsidR="0083714F" w:rsidRPr="0071035F">
        <w:t xml:space="preserve"> par</w:t>
      </w:r>
      <w:r w:rsidR="00E9457B" w:rsidRPr="0071035F">
        <w:t>ticularly effectively</w:t>
      </w:r>
      <w:r w:rsidR="00B408CD" w:rsidRPr="0071035F">
        <w:t xml:space="preserve"> in the classroom. The first</w:t>
      </w:r>
      <w:r w:rsidR="00975CC9" w:rsidRPr="0071035F">
        <w:t>,</w:t>
      </w:r>
      <w:r w:rsidR="00B408CD" w:rsidRPr="0071035F">
        <w:t xml:space="preserve"> </w:t>
      </w:r>
      <w:r w:rsidR="005B4748" w:rsidRPr="0071035F">
        <w:rPr>
          <w:i/>
        </w:rPr>
        <w:t xml:space="preserve">A </w:t>
      </w:r>
      <w:r w:rsidR="00975CC9" w:rsidRPr="0071035F">
        <w:rPr>
          <w:i/>
        </w:rPr>
        <w:t>Voyage Round the World</w:t>
      </w:r>
      <w:r w:rsidR="00C751F6">
        <w:t xml:space="preserve"> (1777),</w:t>
      </w:r>
      <w:r w:rsidR="00975CC9" w:rsidRPr="00C751F6">
        <w:t xml:space="preserve"> </w:t>
      </w:r>
      <w:r w:rsidR="00B158B9">
        <w:t>was published by</w:t>
      </w:r>
      <w:r w:rsidR="00975CC9" w:rsidRPr="0071035F">
        <w:t xml:space="preserve"> Georg</w:t>
      </w:r>
      <w:r w:rsidR="0059314E">
        <w:t>e</w:t>
      </w:r>
      <w:r w:rsidR="00975CC9" w:rsidRPr="0071035F">
        <w:t xml:space="preserve"> Forster, a German naturalist who sailed </w:t>
      </w:r>
      <w:r w:rsidR="00D0648A" w:rsidRPr="0071035F">
        <w:t>on board Cook</w:t>
      </w:r>
      <w:r w:rsidR="00F35C21">
        <w:t>’</w:t>
      </w:r>
      <w:r w:rsidR="00D0648A" w:rsidRPr="0071035F">
        <w:t>s</w:t>
      </w:r>
      <w:r w:rsidR="00B408CD" w:rsidRPr="0071035F">
        <w:t xml:space="preserve"> </w:t>
      </w:r>
      <w:r w:rsidR="00B408CD" w:rsidRPr="0071035F">
        <w:rPr>
          <w:i/>
        </w:rPr>
        <w:t>Resolution</w:t>
      </w:r>
      <w:r w:rsidR="00B408CD" w:rsidRPr="0071035F">
        <w:t>.</w:t>
      </w:r>
      <w:r w:rsidR="00C6305F" w:rsidRPr="0071035F">
        <w:rPr>
          <w:rStyle w:val="EndnoteReference"/>
        </w:rPr>
        <w:endnoteReference w:id="2"/>
      </w:r>
      <w:r w:rsidR="00975CC9" w:rsidRPr="0071035F">
        <w:t xml:space="preserve"> Forster</w:t>
      </w:r>
      <w:r w:rsidR="00F35C21">
        <w:t>’</w:t>
      </w:r>
      <w:r w:rsidR="00975CC9" w:rsidRPr="0071035F">
        <w:t>s</w:t>
      </w:r>
      <w:r w:rsidR="00B408CD" w:rsidRPr="0071035F">
        <w:t xml:space="preserve"> </w:t>
      </w:r>
      <w:r w:rsidR="00B408CD" w:rsidRPr="0071035F">
        <w:rPr>
          <w:i/>
        </w:rPr>
        <w:t>Voyage</w:t>
      </w:r>
      <w:r w:rsidR="00B408CD" w:rsidRPr="0071035F">
        <w:t xml:space="preserve"> recounts the ship</w:t>
      </w:r>
      <w:r w:rsidR="00F35C21">
        <w:t>’</w:t>
      </w:r>
      <w:r w:rsidR="00B408CD" w:rsidRPr="0071035F">
        <w:t>s six-week-l</w:t>
      </w:r>
      <w:r w:rsidR="005B4748" w:rsidRPr="0071035F">
        <w:t>ong sojourn in Dusky Bay in 1773</w:t>
      </w:r>
      <w:r w:rsidR="003968D1">
        <w:t xml:space="preserve"> and</w:t>
      </w:r>
      <w:r w:rsidR="00F2713C" w:rsidRPr="0071035F">
        <w:t xml:space="preserve"> </w:t>
      </w:r>
      <w:r w:rsidR="00413CE3" w:rsidRPr="0071035F">
        <w:t>is perhaps b</w:t>
      </w:r>
      <w:r w:rsidR="00A227DE">
        <w:t xml:space="preserve">est </w:t>
      </w:r>
      <w:r w:rsidR="00413CE3" w:rsidRPr="0071035F">
        <w:t>known for its landmark passage, modelled on Virgil</w:t>
      </w:r>
      <w:r w:rsidR="00F35C21">
        <w:t>’</w:t>
      </w:r>
      <w:r w:rsidR="00413CE3" w:rsidRPr="0071035F">
        <w:t xml:space="preserve">s </w:t>
      </w:r>
      <w:r w:rsidR="00413CE3" w:rsidRPr="0071035F">
        <w:rPr>
          <w:i/>
        </w:rPr>
        <w:t>Aeneid</w:t>
      </w:r>
      <w:r w:rsidR="00413CE3" w:rsidRPr="0071035F">
        <w:t xml:space="preserve">, which describes scenes of European </w:t>
      </w:r>
      <w:r w:rsidR="00F7155F" w:rsidRPr="0071035F">
        <w:t xml:space="preserve">industry and </w:t>
      </w:r>
      <w:r w:rsidR="00C3131D" w:rsidRPr="0071035F">
        <w:t>zeal</w:t>
      </w:r>
      <w:r w:rsidR="00F7155F" w:rsidRPr="0071035F">
        <w:t>,</w:t>
      </w:r>
      <w:r w:rsidR="00334D84">
        <w:t xml:space="preserve"> </w:t>
      </w:r>
      <w:r w:rsidR="003968D1">
        <w:t xml:space="preserve">and </w:t>
      </w:r>
      <w:r w:rsidR="00B42E5E">
        <w:t>concludes</w:t>
      </w:r>
      <w:r w:rsidR="00413CE3" w:rsidRPr="0071035F">
        <w:t xml:space="preserve"> with an exclamation about </w:t>
      </w:r>
      <w:r w:rsidR="00A16E58" w:rsidRPr="0071035F">
        <w:t xml:space="preserve">the </w:t>
      </w:r>
      <w:r w:rsidR="00413CE3" w:rsidRPr="0071035F">
        <w:t>r</w:t>
      </w:r>
      <w:r w:rsidR="005B4748" w:rsidRPr="0071035F">
        <w:t>ise of arts and dawn of science</w:t>
      </w:r>
      <w:r w:rsidR="00B444DD">
        <w:t xml:space="preserve"> “</w:t>
      </w:r>
      <w:r w:rsidR="001B0EF5" w:rsidRPr="0071035F">
        <w:t>in a country which</w:t>
      </w:r>
      <w:r w:rsidR="00413CE3" w:rsidRPr="0071035F">
        <w:t xml:space="preserve"> had hitherto lain plunged in one long night of ignorance and barbarism</w:t>
      </w:r>
      <w:r w:rsidR="005B4748" w:rsidRPr="0071035F">
        <w:t>!</w:t>
      </w:r>
      <w:r w:rsidR="00B444DD">
        <w:t>”</w:t>
      </w:r>
      <w:r w:rsidR="00C6305F">
        <w:t xml:space="preserve"> (105-06)</w:t>
      </w:r>
      <w:r w:rsidR="00413CE3" w:rsidRPr="0071035F">
        <w:t>.</w:t>
      </w:r>
      <w:r w:rsidR="00334D84">
        <w:t xml:space="preserve"> As a</w:t>
      </w:r>
      <w:r w:rsidR="002C4C67">
        <w:t xml:space="preserve"> provoc</w:t>
      </w:r>
      <w:r w:rsidR="007112B1">
        <w:t>ation</w:t>
      </w:r>
      <w:r w:rsidR="00B158B9">
        <w:t xml:space="preserve">, </w:t>
      </w:r>
      <w:r w:rsidR="00334D84">
        <w:t>thi</w:t>
      </w:r>
      <w:r w:rsidR="00BB677D">
        <w:t>s passage can be used to invite</w:t>
      </w:r>
      <w:r w:rsidR="00B158B9">
        <w:t xml:space="preserve"> </w:t>
      </w:r>
      <w:r w:rsidR="003E2267">
        <w:t>stude</w:t>
      </w:r>
      <w:r w:rsidR="00C6305F">
        <w:t>nts to</w:t>
      </w:r>
      <w:r w:rsidR="003E2267">
        <w:t xml:space="preserve"> </w:t>
      </w:r>
      <w:r w:rsidR="00CF4BF0">
        <w:t>develop</w:t>
      </w:r>
      <w:r w:rsidR="00C6305F">
        <w:t xml:space="preserve"> </w:t>
      </w:r>
      <w:r w:rsidR="00413CE3" w:rsidRPr="0071035F">
        <w:t>nuanced reading</w:t>
      </w:r>
      <w:r w:rsidR="00F2713C" w:rsidRPr="0071035F">
        <w:t>s</w:t>
      </w:r>
      <w:r w:rsidR="00C3131D" w:rsidRPr="0071035F">
        <w:t xml:space="preserve"> of </w:t>
      </w:r>
      <w:r w:rsidR="00B444DD">
        <w:t xml:space="preserve">the </w:t>
      </w:r>
      <w:r w:rsidR="00413CE3" w:rsidRPr="0071035F">
        <w:t>patterns of interaction betw</w:t>
      </w:r>
      <w:r w:rsidR="0071035F">
        <w:t>een Europeans and Mā</w:t>
      </w:r>
      <w:r w:rsidR="00C3131D" w:rsidRPr="0071035F">
        <w:t>ori</w:t>
      </w:r>
      <w:r w:rsidR="00413CE3" w:rsidRPr="0071035F">
        <w:t xml:space="preserve"> detailed in the </w:t>
      </w:r>
      <w:r w:rsidR="00413CE3" w:rsidRPr="0071035F">
        <w:rPr>
          <w:i/>
        </w:rPr>
        <w:t>Voyage</w:t>
      </w:r>
      <w:r w:rsidR="003103CA">
        <w:t>. S</w:t>
      </w:r>
      <w:r w:rsidR="00160550" w:rsidRPr="0071035F">
        <w:t>tudent</w:t>
      </w:r>
      <w:r w:rsidR="005B493B">
        <w:t>s readily perceive</w:t>
      </w:r>
      <w:r w:rsidR="003103CA">
        <w:t xml:space="preserve"> that</w:t>
      </w:r>
      <w:r w:rsidR="00413CE3" w:rsidRPr="0071035F">
        <w:t xml:space="preserve"> </w:t>
      </w:r>
      <w:r w:rsidR="005D2B7E" w:rsidRPr="0071035F">
        <w:t>Forster</w:t>
      </w:r>
      <w:r w:rsidR="00F35C21">
        <w:t>’</w:t>
      </w:r>
      <w:r w:rsidR="005D2B7E" w:rsidRPr="0071035F">
        <w:t>s</w:t>
      </w:r>
      <w:r w:rsidR="00413CE3" w:rsidRPr="0071035F">
        <w:t xml:space="preserve"> </w:t>
      </w:r>
      <w:r w:rsidR="007A1033" w:rsidRPr="0071035F">
        <w:t>dramatic</w:t>
      </w:r>
      <w:r w:rsidR="00C97F93" w:rsidRPr="0071035F">
        <w:t xml:space="preserve"> </w:t>
      </w:r>
      <w:r w:rsidR="008F1836">
        <w:t>and much-quoted</w:t>
      </w:r>
      <w:r w:rsidR="005D2B7E" w:rsidRPr="0071035F">
        <w:t xml:space="preserve"> </w:t>
      </w:r>
      <w:r w:rsidR="00413CE3" w:rsidRPr="0071035F">
        <w:t>sentim</w:t>
      </w:r>
      <w:r w:rsidR="005D2B7E" w:rsidRPr="0071035F">
        <w:t xml:space="preserve">ents are </w:t>
      </w:r>
      <w:r w:rsidR="001B0EF5" w:rsidRPr="0071035F">
        <w:t xml:space="preserve">largely </w:t>
      </w:r>
      <w:r w:rsidR="005D2B7E" w:rsidRPr="0071035F">
        <w:t>at odds</w:t>
      </w:r>
      <w:r w:rsidR="00413CE3" w:rsidRPr="0071035F">
        <w:t xml:space="preserve"> </w:t>
      </w:r>
      <w:r w:rsidR="002A0F52">
        <w:t>with</w:t>
      </w:r>
      <w:r w:rsidR="00D941C0">
        <w:t xml:space="preserve"> </w:t>
      </w:r>
      <w:r w:rsidR="006D0006" w:rsidRPr="0071035F">
        <w:t>his preceding commentary</w:t>
      </w:r>
      <w:r w:rsidR="00D941C0">
        <w:t xml:space="preserve"> and </w:t>
      </w:r>
      <w:r w:rsidR="00D67D64">
        <w:t xml:space="preserve">with </w:t>
      </w:r>
      <w:r w:rsidR="003A18E7">
        <w:t>his qualifying coda,</w:t>
      </w:r>
      <w:r w:rsidR="00B158B9">
        <w:t xml:space="preserve"> which forecasts</w:t>
      </w:r>
      <w:r w:rsidR="003A18E7">
        <w:t xml:space="preserve"> the collapse and ruin of the makeshift European settlement</w:t>
      </w:r>
      <w:r w:rsidR="00160550" w:rsidRPr="0071035F">
        <w:t>.</w:t>
      </w:r>
      <w:r w:rsidR="00975CC9" w:rsidRPr="0071035F">
        <w:t xml:space="preserve"> </w:t>
      </w:r>
      <w:r w:rsidR="00160550" w:rsidRPr="0071035F">
        <w:t>C</w:t>
      </w:r>
      <w:r w:rsidR="00B444DD">
        <w:t>ross-cultural “</w:t>
      </w:r>
      <w:r w:rsidR="00160550" w:rsidRPr="0071035F">
        <w:t>mis</w:t>
      </w:r>
      <w:r w:rsidR="00A16E58" w:rsidRPr="0071035F">
        <w:t>-</w:t>
      </w:r>
      <w:r w:rsidR="00160550" w:rsidRPr="0071035F">
        <w:t>taking</w:t>
      </w:r>
      <w:r w:rsidR="00B444DD">
        <w:t>”</w:t>
      </w:r>
      <w:r w:rsidR="00975CC9" w:rsidRPr="0071035F">
        <w:t xml:space="preserve"> </w:t>
      </w:r>
      <w:r w:rsidR="00160550" w:rsidRPr="0071035F">
        <w:t>(</w:t>
      </w:r>
      <w:r w:rsidR="00B158B9">
        <w:t>of tools as</w:t>
      </w:r>
      <w:r w:rsidR="00975CC9" w:rsidRPr="0071035F">
        <w:t xml:space="preserve"> weapons</w:t>
      </w:r>
      <w:r w:rsidR="00B158B9">
        <w:t xml:space="preserve"> and weapons as</w:t>
      </w:r>
      <w:r w:rsidR="003E2267">
        <w:t xml:space="preserve"> tools</w:t>
      </w:r>
      <w:r w:rsidR="00160550" w:rsidRPr="0071035F">
        <w:t>, for instance) occasions</w:t>
      </w:r>
      <w:r w:rsidR="00975CC9" w:rsidRPr="0071035F">
        <w:t xml:space="preserve"> </w:t>
      </w:r>
      <w:r w:rsidR="007F6F0F" w:rsidRPr="0071035F">
        <w:t xml:space="preserve">traumatic </w:t>
      </w:r>
      <w:r w:rsidR="00975CC9" w:rsidRPr="0071035F">
        <w:t>violence</w:t>
      </w:r>
      <w:r w:rsidR="006D0006">
        <w:t xml:space="preserve"> in the </w:t>
      </w:r>
      <w:r w:rsidR="006D0006" w:rsidRPr="006D0006">
        <w:rPr>
          <w:i/>
        </w:rPr>
        <w:t>Voyage</w:t>
      </w:r>
      <w:r w:rsidR="00160550" w:rsidRPr="0071035F">
        <w:t xml:space="preserve">, and </w:t>
      </w:r>
      <w:r w:rsidR="00C97F93" w:rsidRPr="0071035F">
        <w:t xml:space="preserve">for the most part </w:t>
      </w:r>
      <w:r w:rsidR="00AB6F8B" w:rsidRPr="0071035F">
        <w:t>Forster</w:t>
      </w:r>
      <w:r w:rsidR="00160550" w:rsidRPr="0071035F">
        <w:t xml:space="preserve"> </w:t>
      </w:r>
      <w:r w:rsidR="00C3131D" w:rsidRPr="0071035F">
        <w:t>seems</w:t>
      </w:r>
      <w:r w:rsidR="00F60E96" w:rsidRPr="0071035F">
        <w:t xml:space="preserve"> reflexively attuned</w:t>
      </w:r>
      <w:r w:rsidR="00BA1BB6" w:rsidRPr="0071035F">
        <w:t xml:space="preserve"> to the unfold</w:t>
      </w:r>
      <w:r w:rsidR="00160550" w:rsidRPr="0071035F">
        <w:t xml:space="preserve">ing situation: </w:t>
      </w:r>
      <w:r w:rsidR="00C3131D" w:rsidRPr="0071035F">
        <w:t xml:space="preserve">it is possible to </w:t>
      </w:r>
      <w:r w:rsidR="00160550" w:rsidRPr="0071035F">
        <w:t xml:space="preserve">perceive him straining to make sense of </w:t>
      </w:r>
      <w:r w:rsidR="008D0922">
        <w:t>occurrence</w:t>
      </w:r>
      <w:r w:rsidR="00D0648A" w:rsidRPr="0071035F">
        <w:t>s</w:t>
      </w:r>
      <w:r w:rsidR="00F60E96" w:rsidRPr="0071035F">
        <w:t xml:space="preserve"> and</w:t>
      </w:r>
      <w:r w:rsidR="00C3131D" w:rsidRPr="0071035F">
        <w:t xml:space="preserve"> c</w:t>
      </w:r>
      <w:r w:rsidR="00664E96">
        <w:t xml:space="preserve">oming up against the </w:t>
      </w:r>
      <w:commentRangeStart w:id="3"/>
      <w:commentRangeStart w:id="4"/>
      <w:r w:rsidR="00664E96">
        <w:t>limits</w:t>
      </w:r>
      <w:r w:rsidR="00F60E96" w:rsidRPr="0071035F">
        <w:t xml:space="preserve"> </w:t>
      </w:r>
      <w:commentRangeEnd w:id="3"/>
      <w:r w:rsidR="00B444DD">
        <w:rPr>
          <w:rStyle w:val="CommentReference"/>
        </w:rPr>
        <w:commentReference w:id="3"/>
      </w:r>
      <w:commentRangeEnd w:id="4"/>
      <w:r w:rsidR="00994FF3">
        <w:rPr>
          <w:rStyle w:val="CommentReference"/>
        </w:rPr>
        <w:commentReference w:id="4"/>
      </w:r>
      <w:r w:rsidR="00F60E96" w:rsidRPr="0071035F">
        <w:t>of his own understanding</w:t>
      </w:r>
      <w:r w:rsidR="00160550" w:rsidRPr="0071035F">
        <w:t>.</w:t>
      </w:r>
      <w:r w:rsidR="0072158E">
        <w:t xml:space="preserve"> </w:t>
      </w:r>
      <w:r w:rsidR="00E366B5">
        <w:t>A more fundamental set of interpretative challenges can</w:t>
      </w:r>
      <w:r w:rsidR="002A0F52">
        <w:t xml:space="preserve"> </w:t>
      </w:r>
      <w:r w:rsidR="00E366B5">
        <w:t xml:space="preserve">be posed when students </w:t>
      </w:r>
      <w:r w:rsidR="002A0F52">
        <w:t xml:space="preserve">read </w:t>
      </w:r>
      <w:r w:rsidR="00E366B5">
        <w:t xml:space="preserve">the </w:t>
      </w:r>
      <w:r w:rsidR="00E366B5" w:rsidRPr="00E366B5">
        <w:rPr>
          <w:i/>
        </w:rPr>
        <w:t>Voyage</w:t>
      </w:r>
      <w:r w:rsidR="00E366B5">
        <w:t xml:space="preserve"> </w:t>
      </w:r>
      <w:r w:rsidR="002A0F52">
        <w:t xml:space="preserve">alongside </w:t>
      </w:r>
      <w:r w:rsidR="00CF4BF0">
        <w:t>Barry Barclay</w:t>
      </w:r>
      <w:r w:rsidR="00F35C21">
        <w:t>’</w:t>
      </w:r>
      <w:r w:rsidR="00CF4BF0">
        <w:t xml:space="preserve">s 2005 book </w:t>
      </w:r>
      <w:r w:rsidR="00CF4BF0" w:rsidRPr="00CF5BA6">
        <w:rPr>
          <w:i/>
        </w:rPr>
        <w:t>Mana Tuturu: Maori Treasures &amp; Intellectual Property Rights</w:t>
      </w:r>
      <w:r w:rsidR="00CF4BF0">
        <w:t>.</w:t>
      </w:r>
      <w:r w:rsidR="00DB48E4">
        <w:t xml:space="preserve"> </w:t>
      </w:r>
      <w:r w:rsidR="00CF4BF0">
        <w:t xml:space="preserve">Barclay </w:t>
      </w:r>
      <w:r w:rsidR="00842265">
        <w:t>affords</w:t>
      </w:r>
      <w:r w:rsidR="00DB48E4">
        <w:t xml:space="preserve"> a means of framing </w:t>
      </w:r>
      <w:r w:rsidR="00CF5BA6">
        <w:t>encounters</w:t>
      </w:r>
      <w:r w:rsidR="008F1836">
        <w:t xml:space="preserve"> of the kind described by Forster</w:t>
      </w:r>
      <w:r w:rsidR="00CF5BA6">
        <w:t>—</w:t>
      </w:r>
      <w:r w:rsidR="00DB48E4">
        <w:t>as well as</w:t>
      </w:r>
      <w:r w:rsidR="00CF5BA6">
        <w:t xml:space="preserve"> </w:t>
      </w:r>
      <w:r w:rsidR="00842265">
        <w:t xml:space="preserve">the reconstructive and appropriative recording technology </w:t>
      </w:r>
      <w:r w:rsidR="00D172B6">
        <w:t xml:space="preserve">of the </w:t>
      </w:r>
      <w:r w:rsidR="00842265">
        <w:t xml:space="preserve">European writing </w:t>
      </w:r>
      <w:r w:rsidR="00D172B6">
        <w:t xml:space="preserve">system </w:t>
      </w:r>
      <w:r w:rsidR="00842265">
        <w:t>itself</w:t>
      </w:r>
      <w:r w:rsidR="00B444DD">
        <w:t>—as “</w:t>
      </w:r>
      <w:r w:rsidR="00CF5BA6">
        <w:t>queer</w:t>
      </w:r>
      <w:r w:rsidR="00B444DD">
        <w:t>”</w:t>
      </w:r>
      <w:r w:rsidR="00CF5BA6">
        <w:t xml:space="preserve"> </w:t>
      </w:r>
      <w:r w:rsidR="00B444DD">
        <w:t>(8) and “troubling”</w:t>
      </w:r>
      <w:r w:rsidR="00D91604">
        <w:t xml:space="preserve"> (30)</w:t>
      </w:r>
      <w:r w:rsidR="00DB48E4">
        <w:t xml:space="preserve"> </w:t>
      </w:r>
      <w:r w:rsidR="00CF5BA6">
        <w:t xml:space="preserve">conduct on the part of </w:t>
      </w:r>
      <w:r w:rsidR="00DB48E4">
        <w:t>the</w:t>
      </w:r>
      <w:r w:rsidR="00842265">
        <w:t xml:space="preserve"> visito</w:t>
      </w:r>
      <w:r w:rsidR="00CF5BA6">
        <w:t>rs.</w:t>
      </w:r>
    </w:p>
    <w:p w14:paraId="3D3466E8" w14:textId="45D8C1D6" w:rsidR="002626EB" w:rsidRPr="0071035F" w:rsidRDefault="00C3131D" w:rsidP="004D4D84">
      <w:pPr>
        <w:spacing w:after="120" w:line="360" w:lineRule="auto"/>
        <w:ind w:firstLine="720"/>
        <w:jc w:val="both"/>
      </w:pPr>
      <w:r w:rsidRPr="0071035F">
        <w:t>Cook</w:t>
      </w:r>
      <w:r w:rsidR="00F35C21">
        <w:t>’</w:t>
      </w:r>
      <w:r w:rsidRPr="0071035F">
        <w:t xml:space="preserve">s men were </w:t>
      </w:r>
      <w:r w:rsidR="00C97F93" w:rsidRPr="0071035F">
        <w:t xml:space="preserve">in the grip of </w:t>
      </w:r>
      <w:r w:rsidR="00684ACB" w:rsidRPr="0071035F">
        <w:t xml:space="preserve">scurvy </w:t>
      </w:r>
      <w:r w:rsidR="005B4748" w:rsidRPr="0071035F">
        <w:t>when they</w:t>
      </w:r>
      <w:r w:rsidR="00684ACB" w:rsidRPr="0071035F">
        <w:t xml:space="preserve"> limped in to Dusky Bay</w:t>
      </w:r>
      <w:r w:rsidR="005B4748" w:rsidRPr="0071035F">
        <w:t xml:space="preserve">. </w:t>
      </w:r>
      <w:r w:rsidR="005519C5">
        <w:t>Tantaliz</w:t>
      </w:r>
      <w:r w:rsidR="001B0EF5" w:rsidRPr="0071035F">
        <w:t>ing question</w:t>
      </w:r>
      <w:r w:rsidR="002C4C67">
        <w:t>s of affective</w:t>
      </w:r>
      <w:r w:rsidR="001B0EF5" w:rsidRPr="0071035F">
        <w:t xml:space="preserve"> disturbance </w:t>
      </w:r>
      <w:r w:rsidR="007F63B3" w:rsidRPr="0071035F">
        <w:t xml:space="preserve">are </w:t>
      </w:r>
      <w:r w:rsidR="001B0EF5" w:rsidRPr="0071035F">
        <w:t xml:space="preserve">thus </w:t>
      </w:r>
      <w:r w:rsidR="007F63B3" w:rsidRPr="0071035F">
        <w:t xml:space="preserve">raised by </w:t>
      </w:r>
      <w:r w:rsidR="00F7155F" w:rsidRPr="0071035F">
        <w:t xml:space="preserve">the </w:t>
      </w:r>
      <w:r w:rsidR="00F7155F" w:rsidRPr="0071035F">
        <w:rPr>
          <w:i/>
        </w:rPr>
        <w:t>Voyage</w:t>
      </w:r>
      <w:r w:rsidR="00D64FA6" w:rsidRPr="0071035F">
        <w:t>, and</w:t>
      </w:r>
      <w:r w:rsidR="007F63B3" w:rsidRPr="0071035F">
        <w:t xml:space="preserve"> </w:t>
      </w:r>
      <w:r w:rsidR="001B0EF5" w:rsidRPr="0071035F">
        <w:t>i</w:t>
      </w:r>
      <w:r w:rsidR="00AF1335" w:rsidRPr="0071035F">
        <w:t>n light of</w:t>
      </w:r>
      <w:r w:rsidR="00A16E58" w:rsidRPr="0071035F">
        <w:t xml:space="preserve"> Forster</w:t>
      </w:r>
      <w:r w:rsidR="00F35C21">
        <w:t>’</w:t>
      </w:r>
      <w:r w:rsidR="00AF1335" w:rsidRPr="0071035F">
        <w:t>s somewhat</w:t>
      </w:r>
      <w:r w:rsidR="001B0EF5" w:rsidRPr="0071035F">
        <w:t xml:space="preserve"> paradisia</w:t>
      </w:r>
      <w:r w:rsidR="00EB49A1">
        <w:t>ca</w:t>
      </w:r>
      <w:r w:rsidR="001B0EF5" w:rsidRPr="0071035F">
        <w:t xml:space="preserve">l </w:t>
      </w:r>
      <w:r w:rsidR="00A16E58" w:rsidRPr="0071035F">
        <w:t xml:space="preserve">description of the country, </w:t>
      </w:r>
      <w:r w:rsidR="00A0742D" w:rsidRPr="0071035F">
        <w:t xml:space="preserve">it is fruitful to read </w:t>
      </w:r>
      <w:r w:rsidR="00AF1335" w:rsidRPr="0071035F">
        <w:t>his</w:t>
      </w:r>
      <w:r w:rsidR="00160550" w:rsidRPr="0071035F">
        <w:t xml:space="preserve"> account </w:t>
      </w:r>
      <w:r w:rsidR="00D67D64">
        <w:t>in conjunction with</w:t>
      </w:r>
      <w:r w:rsidR="00E366B5">
        <w:t xml:space="preserve"> </w:t>
      </w:r>
      <w:r w:rsidR="00975CC9" w:rsidRPr="0071035F">
        <w:t>Jonathan Lamb</w:t>
      </w:r>
      <w:r w:rsidR="00F35C21">
        <w:t>’</w:t>
      </w:r>
      <w:r w:rsidR="00975CC9" w:rsidRPr="0071035F">
        <w:t xml:space="preserve">s </w:t>
      </w:r>
      <w:r w:rsidR="00975CC9" w:rsidRPr="0071035F">
        <w:rPr>
          <w:i/>
        </w:rPr>
        <w:t>Preserving the Self in the South Seas</w:t>
      </w:r>
      <w:r w:rsidR="004557C0" w:rsidRPr="004557C0">
        <w:rPr>
          <w:i/>
        </w:rPr>
        <w:t xml:space="preserve"> 1680-1840</w:t>
      </w:r>
      <w:r w:rsidR="004557C0">
        <w:t xml:space="preserve"> (2001).</w:t>
      </w:r>
      <w:r w:rsidR="003A7202" w:rsidRPr="0071035F">
        <w:t xml:space="preserve"> The</w:t>
      </w:r>
      <w:r w:rsidR="00975CC9" w:rsidRPr="0071035F">
        <w:t xml:space="preserve"> </w:t>
      </w:r>
      <w:r w:rsidR="00975CC9" w:rsidRPr="0071035F">
        <w:rPr>
          <w:i/>
        </w:rPr>
        <w:t>Voyage</w:t>
      </w:r>
      <w:r w:rsidR="00160550" w:rsidRPr="0071035F">
        <w:t xml:space="preserve"> has also attracted </w:t>
      </w:r>
      <w:r w:rsidR="0083714F" w:rsidRPr="0071035F">
        <w:t xml:space="preserve">recent scholarly attention </w:t>
      </w:r>
      <w:r w:rsidR="00160550" w:rsidRPr="0071035F">
        <w:t>as a touchstone for historical re-enactment studies</w:t>
      </w:r>
      <w:r w:rsidR="00F60E96" w:rsidRPr="0071035F">
        <w:t>.</w:t>
      </w:r>
      <w:r w:rsidR="00D0648A" w:rsidRPr="0071035F">
        <w:t xml:space="preserve"> Vanessa Agnew</w:t>
      </w:r>
      <w:r w:rsidR="002626EB" w:rsidRPr="0071035F">
        <w:t>, for example,</w:t>
      </w:r>
      <w:r w:rsidR="00D0648A" w:rsidRPr="0071035F">
        <w:t xml:space="preserve"> uses Forster as the</w:t>
      </w:r>
      <w:r w:rsidR="002626EB" w:rsidRPr="0071035F">
        <w:t xml:space="preserve"> key case study</w:t>
      </w:r>
      <w:r w:rsidR="00D0648A" w:rsidRPr="0071035F">
        <w:t xml:space="preserve"> in </w:t>
      </w:r>
      <w:r w:rsidR="005D2B7E" w:rsidRPr="0071035F">
        <w:t>her</w:t>
      </w:r>
      <w:r w:rsidR="004557C0">
        <w:t xml:space="preserve"> 2004</w:t>
      </w:r>
      <w:r w:rsidR="005D2B7E" w:rsidRPr="0071035F">
        <w:t xml:space="preserve"> </w:t>
      </w:r>
      <w:r w:rsidR="00D0648A" w:rsidRPr="0071035F">
        <w:rPr>
          <w:i/>
        </w:rPr>
        <w:t>Critical Inquiry</w:t>
      </w:r>
      <w:r w:rsidR="00F2713C" w:rsidRPr="0071035F">
        <w:t xml:space="preserve"> editorial,</w:t>
      </w:r>
      <w:r w:rsidR="00D0648A" w:rsidRPr="0071035F">
        <w:t xml:space="preserve"> drawing in turn on </w:t>
      </w:r>
      <w:r w:rsidR="00D0648A" w:rsidRPr="0071035F">
        <w:rPr>
          <w:i/>
        </w:rPr>
        <w:t>Cook</w:t>
      </w:r>
      <w:r w:rsidR="00F35C21">
        <w:rPr>
          <w:i/>
        </w:rPr>
        <w:t>’</w:t>
      </w:r>
      <w:r w:rsidR="00D0648A" w:rsidRPr="0071035F">
        <w:rPr>
          <w:i/>
        </w:rPr>
        <w:t>s Sites: Revisiting History</w:t>
      </w:r>
      <w:r w:rsidR="004557C0">
        <w:t xml:space="preserve"> (1999),</w:t>
      </w:r>
      <w:r w:rsidR="00D0648A" w:rsidRPr="0071035F">
        <w:t xml:space="preserve"> a return to Dusky Bay published by Mark Adams and Nicholas Thomas. </w:t>
      </w:r>
      <w:r w:rsidR="004557C0">
        <w:t>The</w:t>
      </w:r>
      <w:r w:rsidR="006D0006">
        <w:t>se</w:t>
      </w:r>
      <w:r w:rsidR="004557C0">
        <w:t xml:space="preserve"> authors </w:t>
      </w:r>
      <w:r w:rsidR="00BB677D">
        <w:t>j</w:t>
      </w:r>
      <w:r w:rsidR="007A1033" w:rsidRPr="0071035F">
        <w:t>uxtapos</w:t>
      </w:r>
      <w:r w:rsidR="00BB677D">
        <w:t>e</w:t>
      </w:r>
      <w:r w:rsidR="00D0648A" w:rsidRPr="0071035F">
        <w:t xml:space="preserve"> written discussion of Forster</w:t>
      </w:r>
      <w:r w:rsidR="00F35C21">
        <w:t>’</w:t>
      </w:r>
      <w:r w:rsidR="00D0648A" w:rsidRPr="0071035F">
        <w:t xml:space="preserve">s experiences </w:t>
      </w:r>
      <w:r w:rsidR="00F7155F" w:rsidRPr="0071035F">
        <w:t xml:space="preserve">(and their </w:t>
      </w:r>
      <w:r w:rsidR="00F7155F" w:rsidRPr="0071035F">
        <w:lastRenderedPageBreak/>
        <w:t xml:space="preserve">own) </w:t>
      </w:r>
      <w:r w:rsidR="00D0648A" w:rsidRPr="0071035F">
        <w:t>with contemporary photographs of the landing-site</w:t>
      </w:r>
      <w:r w:rsidR="00AB6F8B" w:rsidRPr="0071035F">
        <w:t xml:space="preserve"> landscapes</w:t>
      </w:r>
      <w:r w:rsidR="003A18E7">
        <w:t xml:space="preserve">—still marked by the </w:t>
      </w:r>
      <w:r w:rsidR="003A18E7" w:rsidRPr="003A18E7">
        <w:rPr>
          <w:i/>
        </w:rPr>
        <w:t>Resolution</w:t>
      </w:r>
      <w:r w:rsidR="00F35C21">
        <w:t>’</w:t>
      </w:r>
      <w:r w:rsidR="003A18E7">
        <w:t>s axes and saws—</w:t>
      </w:r>
      <w:r w:rsidR="00A0742D" w:rsidRPr="0071035F">
        <w:t>and</w:t>
      </w:r>
      <w:r w:rsidR="003A18E7">
        <w:t xml:space="preserve"> </w:t>
      </w:r>
      <w:r w:rsidR="00A0742D" w:rsidRPr="0071035F">
        <w:t xml:space="preserve">of the </w:t>
      </w:r>
      <w:r w:rsidR="005D2B7E" w:rsidRPr="0071035F">
        <w:t xml:space="preserve">original </w:t>
      </w:r>
      <w:r w:rsidR="00A0742D" w:rsidRPr="0071035F">
        <w:t>voyage</w:t>
      </w:r>
      <w:r w:rsidR="00F7155F" w:rsidRPr="0071035F">
        <w:t xml:space="preserve"> journal itself</w:t>
      </w:r>
      <w:r w:rsidR="00D0648A" w:rsidRPr="0071035F">
        <w:t xml:space="preserve">. </w:t>
      </w:r>
      <w:r w:rsidR="004557C0">
        <w:t>Adams</w:t>
      </w:r>
      <w:r w:rsidR="00F35C21">
        <w:t>’</w:t>
      </w:r>
      <w:r w:rsidR="004557C0">
        <w:t>s</w:t>
      </w:r>
      <w:r w:rsidR="003A7202" w:rsidRPr="0071035F">
        <w:t xml:space="preserve"> i</w:t>
      </w:r>
      <w:r w:rsidR="00F60E96" w:rsidRPr="0071035F">
        <w:t>mages of the journal-as-object are particularly</w:t>
      </w:r>
      <w:r w:rsidR="00EF23A3" w:rsidRPr="0071035F">
        <w:t xml:space="preserve"> valuable</w:t>
      </w:r>
      <w:r w:rsidR="00D64FA6" w:rsidRPr="0071035F">
        <w:t xml:space="preserve"> as a teaching</w:t>
      </w:r>
      <w:r w:rsidR="002626EB" w:rsidRPr="0071035F">
        <w:t xml:space="preserve"> resource. H</w:t>
      </w:r>
      <w:r w:rsidR="00336176" w:rsidRPr="0071035F">
        <w:t xml:space="preserve">and-written in </w:t>
      </w:r>
      <w:r w:rsidR="00306096">
        <w:t xml:space="preserve">ink-blotched </w:t>
      </w:r>
      <w:r w:rsidR="00F7155F" w:rsidRPr="0071035F">
        <w:t>skein</w:t>
      </w:r>
      <w:r w:rsidR="00F60E96" w:rsidRPr="0071035F">
        <w:t>s of cursive</w:t>
      </w:r>
      <w:r w:rsidR="00A227DE">
        <w:t xml:space="preserve"> script</w:t>
      </w:r>
      <w:r w:rsidR="00EB49A1">
        <w:t xml:space="preserve">, </w:t>
      </w:r>
      <w:r w:rsidR="007F63B3" w:rsidRPr="0071035F">
        <w:t xml:space="preserve">bearing </w:t>
      </w:r>
      <w:r w:rsidR="000562C2" w:rsidRPr="0071035F">
        <w:t>tentative</w:t>
      </w:r>
      <w:r w:rsidR="002626EB" w:rsidRPr="0071035F">
        <w:t xml:space="preserve"> sketches of coastlines</w:t>
      </w:r>
      <w:r w:rsidR="00F60E96" w:rsidRPr="0071035F">
        <w:t xml:space="preserve"> and aerial </w:t>
      </w:r>
      <w:r w:rsidR="002626EB" w:rsidRPr="0071035F">
        <w:t>cartograph</w:t>
      </w:r>
      <w:r w:rsidR="00684ACB" w:rsidRPr="0071035F">
        <w:t>i</w:t>
      </w:r>
      <w:r w:rsidR="005519C5">
        <w:t>c visualiz</w:t>
      </w:r>
      <w:r w:rsidR="001C092A">
        <w:t>ations</w:t>
      </w:r>
      <w:r w:rsidR="00684ACB" w:rsidRPr="0071035F">
        <w:t xml:space="preserve">, </w:t>
      </w:r>
      <w:r w:rsidR="00EB49A1">
        <w:t>and photographed within t</w:t>
      </w:r>
      <w:r w:rsidR="00C47AE4">
        <w:t>he setting</w:t>
      </w:r>
      <w:r w:rsidR="00EB49A1">
        <w:t xml:space="preserve"> of its </w:t>
      </w:r>
      <w:r w:rsidR="007112B1">
        <w:t>lon</w:t>
      </w:r>
      <w:r w:rsidR="00B42E5E">
        <w:t>g-time home in the Berlin State Library</w:t>
      </w:r>
      <w:r w:rsidR="00EB49A1">
        <w:t xml:space="preserve">, </w:t>
      </w:r>
      <w:r w:rsidR="00684ACB" w:rsidRPr="0071035F">
        <w:t>the journal</w:t>
      </w:r>
      <w:r w:rsidR="00F60E96" w:rsidRPr="0071035F">
        <w:t xml:space="preserve"> serve</w:t>
      </w:r>
      <w:r w:rsidR="00684ACB" w:rsidRPr="0071035F">
        <w:t>s</w:t>
      </w:r>
      <w:r w:rsidR="00F60E96" w:rsidRPr="0071035F">
        <w:t xml:space="preserve"> as a </w:t>
      </w:r>
      <w:r w:rsidR="00EF23A3" w:rsidRPr="0071035F">
        <w:t xml:space="preserve">material </w:t>
      </w:r>
      <w:r w:rsidR="00F60E96" w:rsidRPr="0071035F">
        <w:t xml:space="preserve">reminder of the role of pens, </w:t>
      </w:r>
      <w:r w:rsidR="00C6305F">
        <w:t>ink and</w:t>
      </w:r>
      <w:r w:rsidR="00425E14" w:rsidRPr="0071035F">
        <w:t xml:space="preserve"> paper </w:t>
      </w:r>
      <w:r w:rsidR="003E2267">
        <w:t>(</w:t>
      </w:r>
      <w:r w:rsidR="001C092A">
        <w:t>as well as</w:t>
      </w:r>
      <w:r w:rsidR="006D0006">
        <w:t xml:space="preserve"> </w:t>
      </w:r>
      <w:r w:rsidR="00EB49A1">
        <w:t>institutions of writing</w:t>
      </w:r>
      <w:r w:rsidR="003E2267">
        <w:t xml:space="preserve"> themselves)</w:t>
      </w:r>
      <w:r w:rsidR="00EB49A1">
        <w:t xml:space="preserve"> </w:t>
      </w:r>
      <w:r w:rsidR="00425E14" w:rsidRPr="0071035F">
        <w:t xml:space="preserve">in constructing </w:t>
      </w:r>
      <w:r w:rsidR="00F60E96" w:rsidRPr="0071035F">
        <w:t>new world place</w:t>
      </w:r>
      <w:r w:rsidR="00425E14" w:rsidRPr="0071035F">
        <w:t>s</w:t>
      </w:r>
      <w:r w:rsidR="00F60E96" w:rsidRPr="0071035F">
        <w:t xml:space="preserve">. </w:t>
      </w:r>
      <w:r w:rsidR="003A7202" w:rsidRPr="0071035F">
        <w:t>Such</w:t>
      </w:r>
      <w:r w:rsidR="00684ACB" w:rsidRPr="0071035F">
        <w:t xml:space="preserve"> image</w:t>
      </w:r>
      <w:r w:rsidR="002626EB" w:rsidRPr="0071035F">
        <w:t>s</w:t>
      </w:r>
      <w:r w:rsidR="00B408CD" w:rsidRPr="0071035F">
        <w:t xml:space="preserve"> </w:t>
      </w:r>
      <w:r w:rsidR="007112B1">
        <w:t>render visibl</w:t>
      </w:r>
      <w:r w:rsidR="007E7BEB" w:rsidRPr="0071035F">
        <w:t>e for</w:t>
      </w:r>
      <w:r w:rsidR="00C97F93" w:rsidRPr="0071035F">
        <w:t xml:space="preserve"> students </w:t>
      </w:r>
      <w:r w:rsidR="00B408CD" w:rsidRPr="0071035F">
        <w:t xml:space="preserve">what </w:t>
      </w:r>
      <w:r w:rsidR="005D2B7E" w:rsidRPr="0071035F">
        <w:t>the European system of writing</w:t>
      </w:r>
      <w:r w:rsidR="00B408CD" w:rsidRPr="0071035F">
        <w:t xml:space="preserve"> </w:t>
      </w:r>
      <w:r w:rsidR="00B444DD">
        <w:t>“</w:t>
      </w:r>
      <w:r w:rsidR="00B408CD" w:rsidRPr="0071035F">
        <w:t>was</w:t>
      </w:r>
      <w:r w:rsidR="00B444DD">
        <w:t>”</w:t>
      </w:r>
      <w:r w:rsidR="00A0742D" w:rsidRPr="0071035F">
        <w:t xml:space="preserve"> </w:t>
      </w:r>
      <w:r w:rsidR="00306096">
        <w:t>w</w:t>
      </w:r>
      <w:r w:rsidR="00DC3D1A">
        <w:t>hen it</w:t>
      </w:r>
      <w:r w:rsidR="00306096">
        <w:t xml:space="preserve"> made landfall</w:t>
      </w:r>
      <w:r w:rsidR="005D2B7E" w:rsidRPr="0071035F">
        <w:t xml:space="preserve"> in </w:t>
      </w:r>
      <w:r w:rsidR="00306096">
        <w:t>New Zealand</w:t>
      </w:r>
      <w:r w:rsidR="00B408CD" w:rsidRPr="0071035F">
        <w:t xml:space="preserve">. </w:t>
      </w:r>
      <w:r w:rsidRPr="0071035F">
        <w:t>Once</w:t>
      </w:r>
      <w:r w:rsidR="00B408CD" w:rsidRPr="0071035F">
        <w:t xml:space="preserve"> students </w:t>
      </w:r>
      <w:r w:rsidRPr="0071035F">
        <w:t xml:space="preserve">are able </w:t>
      </w:r>
      <w:r w:rsidR="00B408CD" w:rsidRPr="0071035F">
        <w:t xml:space="preserve">to </w:t>
      </w:r>
      <w:r w:rsidR="00B408CD" w:rsidRPr="0071035F">
        <w:rPr>
          <w:i/>
        </w:rPr>
        <w:t>see</w:t>
      </w:r>
      <w:r w:rsidR="00B408CD" w:rsidRPr="0071035F">
        <w:t xml:space="preserve"> the writing on the page, in the form of </w:t>
      </w:r>
      <w:r w:rsidR="002626EB" w:rsidRPr="0071035F">
        <w:t xml:space="preserve">marks and notations, </w:t>
      </w:r>
      <w:r w:rsidR="008D0922">
        <w:t xml:space="preserve">gridded </w:t>
      </w:r>
      <w:r w:rsidRPr="0071035F">
        <w:t xml:space="preserve">columns and rows, </w:t>
      </w:r>
      <w:r w:rsidR="00C97F93" w:rsidRPr="0071035F">
        <w:t>they begin</w:t>
      </w:r>
      <w:r w:rsidRPr="0071035F">
        <w:t xml:space="preserve"> to </w:t>
      </w:r>
      <w:r w:rsidR="00E01058" w:rsidRPr="0071035F">
        <w:t>read</w:t>
      </w:r>
      <w:r w:rsidR="002626EB" w:rsidRPr="0071035F">
        <w:t xml:space="preserve"> the page itself as </w:t>
      </w:r>
      <w:r w:rsidR="00EF23A3" w:rsidRPr="0071035F">
        <w:t xml:space="preserve">the expression of </w:t>
      </w:r>
      <w:r w:rsidR="002626EB" w:rsidRPr="0071035F">
        <w:t>a</w:t>
      </w:r>
      <w:r w:rsidR="007E7BEB" w:rsidRPr="0071035F">
        <w:t xml:space="preserve"> planar and</w:t>
      </w:r>
      <w:r w:rsidR="005519C5">
        <w:t xml:space="preserve"> rectangulariz</w:t>
      </w:r>
      <w:r w:rsidR="002626EB" w:rsidRPr="0071035F">
        <w:t>ing vision—</w:t>
      </w:r>
      <w:r w:rsidRPr="0071035F">
        <w:t xml:space="preserve">as </w:t>
      </w:r>
      <w:r w:rsidR="002626EB" w:rsidRPr="0071035F">
        <w:t xml:space="preserve">a certain </w:t>
      </w:r>
      <w:r w:rsidR="00B444DD">
        <w:t>“</w:t>
      </w:r>
      <w:r w:rsidR="002626EB" w:rsidRPr="0071035F">
        <w:t>distribution of the sensible</w:t>
      </w:r>
      <w:r w:rsidR="00B444DD">
        <w:t>”</w:t>
      </w:r>
      <w:r w:rsidR="002626EB" w:rsidRPr="0071035F">
        <w:t xml:space="preserve">, to use </w:t>
      </w:r>
      <w:r w:rsidR="00684ACB" w:rsidRPr="0071035F">
        <w:t xml:space="preserve">Jacques </w:t>
      </w:r>
      <w:r w:rsidR="00FF1FDE">
        <w:t>Ranciè</w:t>
      </w:r>
      <w:r w:rsidR="009A43F4" w:rsidRPr="0071035F">
        <w:t>re</w:t>
      </w:r>
      <w:r w:rsidR="00F35C21">
        <w:t>’</w:t>
      </w:r>
      <w:r w:rsidR="009A43F4" w:rsidRPr="0071035F">
        <w:t>s formulation</w:t>
      </w:r>
      <w:r w:rsidR="008F1836">
        <w:t xml:space="preserve">. Such </w:t>
      </w:r>
      <w:r w:rsidR="00336176" w:rsidRPr="0071035F">
        <w:t xml:space="preserve">an understanding </w:t>
      </w:r>
      <w:r w:rsidR="005662CA">
        <w:t>of the re</w:t>
      </w:r>
      <w:r w:rsidR="008C72E3">
        <w:t>-</w:t>
      </w:r>
      <w:r w:rsidR="005662CA">
        <w:t>ordering</w:t>
      </w:r>
      <w:r w:rsidR="003968D1">
        <w:t xml:space="preserve"> </w:t>
      </w:r>
      <w:r w:rsidR="005662CA">
        <w:t>or world-making</w:t>
      </w:r>
      <w:r w:rsidR="00D67D64">
        <w:t xml:space="preserve"> </w:t>
      </w:r>
      <w:r w:rsidR="003968D1">
        <w:t xml:space="preserve">force of writing itself </w:t>
      </w:r>
      <w:r w:rsidR="002A0F52">
        <w:t>supplie</w:t>
      </w:r>
      <w:r w:rsidR="00D64FA6" w:rsidRPr="0071035F">
        <w:t>s a</w:t>
      </w:r>
      <w:r w:rsidR="004557C0">
        <w:t xml:space="preserve"> crucial</w:t>
      </w:r>
      <w:r w:rsidR="008F1836">
        <w:t xml:space="preserve"> basis</w:t>
      </w:r>
      <w:r w:rsidR="00336176" w:rsidRPr="0071035F">
        <w:t xml:space="preserve"> for any investigation of settler-colonial literature. Indeed, b</w:t>
      </w:r>
      <w:r w:rsidR="002626EB" w:rsidRPr="0071035F">
        <w:t>y considering</w:t>
      </w:r>
      <w:r w:rsidRPr="0071035F">
        <w:t xml:space="preserve"> the</w:t>
      </w:r>
      <w:r w:rsidR="002626EB" w:rsidRPr="0071035F">
        <w:t xml:space="preserve"> distance </w:t>
      </w:r>
      <w:r w:rsidRPr="0071035F">
        <w:t>of Forster</w:t>
      </w:r>
      <w:r w:rsidR="00F35C21">
        <w:t>’</w:t>
      </w:r>
      <w:r w:rsidRPr="0071035F">
        <w:t xml:space="preserve">s writing </w:t>
      </w:r>
      <w:r w:rsidR="002626EB" w:rsidRPr="0071035F">
        <w:t xml:space="preserve">from </w:t>
      </w:r>
      <w:r w:rsidR="008D0922">
        <w:t xml:space="preserve">our own </w:t>
      </w:r>
      <w:r w:rsidR="002626EB" w:rsidRPr="0071035F">
        <w:t xml:space="preserve">(in terms of </w:t>
      </w:r>
      <w:r w:rsidR="007A1033" w:rsidRPr="0071035F">
        <w:t xml:space="preserve">its </w:t>
      </w:r>
      <w:r w:rsidR="00334D84">
        <w:t>hypotactic synta</w:t>
      </w:r>
      <w:r w:rsidR="002F2054">
        <w:t>x</w:t>
      </w:r>
      <w:r w:rsidR="00B408CD" w:rsidRPr="0071035F">
        <w:t xml:space="preserve">, </w:t>
      </w:r>
      <w:r w:rsidR="00425E14" w:rsidRPr="0071035F">
        <w:t xml:space="preserve">inconsistent spellings, </w:t>
      </w:r>
      <w:r w:rsidR="00B408CD" w:rsidRPr="0071035F">
        <w:t>no</w:t>
      </w:r>
      <w:r w:rsidR="002626EB" w:rsidRPr="0071035F">
        <w:t>n-regulation use of apostrophes</w:t>
      </w:r>
      <w:r w:rsidR="00684ACB" w:rsidRPr="0071035F">
        <w:t xml:space="preserve"> and so on</w:t>
      </w:r>
      <w:r w:rsidR="002626EB" w:rsidRPr="0071035F">
        <w:t>)</w:t>
      </w:r>
      <w:r w:rsidR="00684ACB" w:rsidRPr="0071035F">
        <w:t>, students</w:t>
      </w:r>
      <w:r w:rsidR="002626EB" w:rsidRPr="0071035F">
        <w:t xml:space="preserve"> are able to</w:t>
      </w:r>
      <w:r w:rsidR="00CF4BF0">
        <w:t xml:space="preserve"> </w:t>
      </w:r>
      <w:r w:rsidR="005519C5">
        <w:t>historiciz</w:t>
      </w:r>
      <w:r w:rsidR="002626EB" w:rsidRPr="0071035F">
        <w:t xml:space="preserve">e </w:t>
      </w:r>
      <w:r w:rsidRPr="0071035F">
        <w:t xml:space="preserve">European </w:t>
      </w:r>
      <w:r w:rsidR="002626EB" w:rsidRPr="0071035F">
        <w:t xml:space="preserve">writing practices and conventions—to </w:t>
      </w:r>
      <w:r w:rsidR="00E01058" w:rsidRPr="0071035F">
        <w:t>find</w:t>
      </w:r>
      <w:r w:rsidR="002626EB" w:rsidRPr="0071035F">
        <w:t xml:space="preserve"> </w:t>
      </w:r>
      <w:r w:rsidR="00BB677D">
        <w:t>themselves encountering</w:t>
      </w:r>
      <w:r w:rsidR="00C97F93" w:rsidRPr="0071035F">
        <w:t xml:space="preserve"> </w:t>
      </w:r>
      <w:r w:rsidR="007112B1">
        <w:t xml:space="preserve">a </w:t>
      </w:r>
      <w:r w:rsidR="004557C0">
        <w:t xml:space="preserve">communicative </w:t>
      </w:r>
      <w:r w:rsidR="007112B1">
        <w:t>technology</w:t>
      </w:r>
      <w:r w:rsidR="002626EB" w:rsidRPr="0071035F">
        <w:t xml:space="preserve"> t</w:t>
      </w:r>
      <w:r w:rsidR="00AB6F8B" w:rsidRPr="0071035F">
        <w:t xml:space="preserve">hat is, itself, </w:t>
      </w:r>
      <w:r w:rsidR="00A16E58" w:rsidRPr="0071035F">
        <w:t xml:space="preserve">still </w:t>
      </w:r>
      <w:r w:rsidR="00EF23A3" w:rsidRPr="0071035F">
        <w:t xml:space="preserve">visibly </w:t>
      </w:r>
      <w:r w:rsidR="00AB6F8B" w:rsidRPr="0071035F">
        <w:t>under construction</w:t>
      </w:r>
      <w:r w:rsidR="002626EB" w:rsidRPr="0071035F">
        <w:t>.</w:t>
      </w:r>
      <w:r w:rsidR="00306096">
        <w:t xml:space="preserve"> </w:t>
      </w:r>
    </w:p>
    <w:p w14:paraId="1E5C9CFD" w14:textId="26AF8296" w:rsidR="00B408CD" w:rsidRPr="0071035F" w:rsidRDefault="00C201C2" w:rsidP="00F35C21">
      <w:pPr>
        <w:spacing w:after="120" w:line="360" w:lineRule="auto"/>
        <w:ind w:firstLine="720"/>
        <w:jc w:val="both"/>
      </w:pPr>
      <w:r w:rsidRPr="0071035F">
        <w:t>The</w:t>
      </w:r>
      <w:r w:rsidR="00B444DD">
        <w:t xml:space="preserve"> second “arrival”</w:t>
      </w:r>
      <w:r w:rsidR="00AB6F8B" w:rsidRPr="0071035F">
        <w:t xml:space="preserve"> text </w:t>
      </w:r>
      <w:r w:rsidR="009C6EF0" w:rsidRPr="0071035F">
        <w:t xml:space="preserve">of </w:t>
      </w:r>
      <w:r w:rsidR="00B24494" w:rsidRPr="0071035F">
        <w:t>note</w:t>
      </w:r>
      <w:r w:rsidR="00684ACB" w:rsidRPr="0071035F">
        <w:t xml:space="preserve"> is Augustus Earle</w:t>
      </w:r>
      <w:r w:rsidR="00F35C21">
        <w:t>’</w:t>
      </w:r>
      <w:r w:rsidR="00684ACB" w:rsidRPr="0071035F">
        <w:t xml:space="preserve">s </w:t>
      </w:r>
      <w:r w:rsidR="00B158B9" w:rsidRPr="00B158B9">
        <w:rPr>
          <w:i/>
        </w:rPr>
        <w:t xml:space="preserve">A </w:t>
      </w:r>
      <w:r w:rsidR="00D93AE2">
        <w:rPr>
          <w:i/>
        </w:rPr>
        <w:t>Narrative of a</w:t>
      </w:r>
      <w:r w:rsidR="00684ACB" w:rsidRPr="0071035F">
        <w:rPr>
          <w:i/>
        </w:rPr>
        <w:t xml:space="preserve"> </w:t>
      </w:r>
      <w:r w:rsidR="00B158B9">
        <w:rPr>
          <w:i/>
        </w:rPr>
        <w:t>Nine Months</w:t>
      </w:r>
      <w:r w:rsidR="00F35C21">
        <w:rPr>
          <w:i/>
        </w:rPr>
        <w:t>’</w:t>
      </w:r>
      <w:r w:rsidR="00B158B9">
        <w:rPr>
          <w:i/>
        </w:rPr>
        <w:t xml:space="preserve"> </w:t>
      </w:r>
      <w:r w:rsidR="00684ACB" w:rsidRPr="0071035F">
        <w:rPr>
          <w:i/>
        </w:rPr>
        <w:t>Residence</w:t>
      </w:r>
      <w:r w:rsidR="00D93AE2">
        <w:rPr>
          <w:i/>
        </w:rPr>
        <w:t xml:space="preserve"> in New Zealand</w:t>
      </w:r>
      <w:r w:rsidR="00B158B9">
        <w:t xml:space="preserve"> (1832</w:t>
      </w:r>
      <w:r w:rsidR="00C751F6">
        <w:t>).</w:t>
      </w:r>
      <w:r w:rsidR="00684ACB" w:rsidRPr="0071035F">
        <w:t xml:space="preserve"> Earle was an </w:t>
      </w:r>
      <w:r w:rsidR="00CC789C" w:rsidRPr="0071035F">
        <w:t xml:space="preserve">English </w:t>
      </w:r>
      <w:r w:rsidR="00684ACB" w:rsidRPr="0071035F">
        <w:t>artist</w:t>
      </w:r>
      <w:r w:rsidR="002F2054">
        <w:t xml:space="preserve"> and</w:t>
      </w:r>
      <w:r w:rsidR="00BB677D">
        <w:t xml:space="preserve"> an intrepid traveller who</w:t>
      </w:r>
      <w:r w:rsidR="00CC789C" w:rsidRPr="0071035F">
        <w:t xml:space="preserve"> seems to have set himse</w:t>
      </w:r>
      <w:r w:rsidR="005519C5">
        <w:t>lf the goal of maximiz</w:t>
      </w:r>
      <w:r w:rsidR="00CC789C" w:rsidRPr="0071035F">
        <w:t>ing every opportunity on offer</w:t>
      </w:r>
      <w:r w:rsidR="00D172B6">
        <w:t>. U</w:t>
      </w:r>
      <w:r w:rsidR="007A1033" w:rsidRPr="0071035F">
        <w:t>nli</w:t>
      </w:r>
      <w:r w:rsidR="002F2054">
        <w:t>ke other visitor</w:t>
      </w:r>
      <w:r w:rsidR="00D172B6">
        <w:t>s of this</w:t>
      </w:r>
      <w:r w:rsidR="007A1033" w:rsidRPr="0071035F">
        <w:t xml:space="preserve"> period,</w:t>
      </w:r>
      <w:r w:rsidR="009C6EF0" w:rsidRPr="0071035F">
        <w:t xml:space="preserve"> </w:t>
      </w:r>
      <w:r w:rsidR="005D2B7E" w:rsidRPr="0071035F">
        <w:t>he was under</w:t>
      </w:r>
      <w:r w:rsidR="009C6EF0" w:rsidRPr="0071035F">
        <w:t xml:space="preserve"> no profes</w:t>
      </w:r>
      <w:r w:rsidR="00D64FA6" w:rsidRPr="0071035F">
        <w:t>sional obligation</w:t>
      </w:r>
      <w:r w:rsidR="009C6EF0" w:rsidRPr="0071035F">
        <w:t xml:space="preserve"> to vei</w:t>
      </w:r>
      <w:r w:rsidR="00B24494" w:rsidRPr="0071035F">
        <w:t>l these experiences:</w:t>
      </w:r>
      <w:r w:rsidR="009C6EF0" w:rsidRPr="0071035F">
        <w:t xml:space="preserve"> h</w:t>
      </w:r>
      <w:r w:rsidR="00CC789C" w:rsidRPr="0071035F">
        <w:t>is written account contains</w:t>
      </w:r>
      <w:r w:rsidR="00F7155F" w:rsidRPr="0071035F">
        <w:t xml:space="preserve"> reference</w:t>
      </w:r>
      <w:r w:rsidR="00B24494" w:rsidRPr="0071035F">
        <w:t>, among other things,</w:t>
      </w:r>
      <w:r w:rsidR="00CC789C" w:rsidRPr="0071035F">
        <w:t xml:space="preserve"> </w:t>
      </w:r>
      <w:r w:rsidR="00F7155F" w:rsidRPr="0071035F">
        <w:t xml:space="preserve">to </w:t>
      </w:r>
      <w:r w:rsidR="00CC789C" w:rsidRPr="0071035F">
        <w:t>sex, gun</w:t>
      </w:r>
      <w:r w:rsidR="00710087" w:rsidRPr="0071035F">
        <w:t>s, cannibal feasts</w:t>
      </w:r>
      <w:r w:rsidR="009C6EF0" w:rsidRPr="0071035F">
        <w:t>, warrior heroes and</w:t>
      </w:r>
      <w:r w:rsidR="00CC789C" w:rsidRPr="0071035F">
        <w:t xml:space="preserve"> m</w:t>
      </w:r>
      <w:r w:rsidR="006D0006">
        <w:t>ean-spirited men of the cloth</w:t>
      </w:r>
      <w:r w:rsidR="00CC789C" w:rsidRPr="0071035F">
        <w:t xml:space="preserve">. </w:t>
      </w:r>
      <w:r w:rsidR="00B24494" w:rsidRPr="0071035F">
        <w:t xml:space="preserve">Again, </w:t>
      </w:r>
      <w:r w:rsidR="00A0742D" w:rsidRPr="0071035F">
        <w:t>supplementary texts</w:t>
      </w:r>
      <w:r w:rsidR="00B24494" w:rsidRPr="0071035F">
        <w:t xml:space="preserve"> su</w:t>
      </w:r>
      <w:r w:rsidR="00D172B6">
        <w:t xml:space="preserve">pply a range of </w:t>
      </w:r>
      <w:r w:rsidR="00BB677D">
        <w:t>interpretative paradigm</w:t>
      </w:r>
      <w:r w:rsidR="00D172B6">
        <w:t>s for</w:t>
      </w:r>
      <w:r w:rsidR="00B24494" w:rsidRPr="0071035F">
        <w:t xml:space="preserve"> Earle</w:t>
      </w:r>
      <w:r w:rsidR="00F35C21">
        <w:t>’</w:t>
      </w:r>
      <w:r w:rsidR="00B24494" w:rsidRPr="0071035F">
        <w:t xml:space="preserve">s writing. </w:t>
      </w:r>
      <w:r w:rsidR="00CC789C" w:rsidRPr="0071035F">
        <w:t xml:space="preserve">The </w:t>
      </w:r>
      <w:r w:rsidR="00EF23A3" w:rsidRPr="0071035F">
        <w:t xml:space="preserve">context of </w:t>
      </w:r>
      <w:r w:rsidR="002F2054">
        <w:t xml:space="preserve">escalating </w:t>
      </w:r>
      <w:r w:rsidR="00EF23A3" w:rsidRPr="0071035F">
        <w:t xml:space="preserve">tribal warfare and the </w:t>
      </w:r>
      <w:r w:rsidR="00B444DD">
        <w:t>“secret”</w:t>
      </w:r>
      <w:r w:rsidR="005D2B7E" w:rsidRPr="0071035F">
        <w:t xml:space="preserve"> of cannibalism have</w:t>
      </w:r>
      <w:r w:rsidR="00CC789C" w:rsidRPr="0071035F">
        <w:t xml:space="preserve"> been investigated </w:t>
      </w:r>
      <w:r w:rsidR="007F6F0F" w:rsidRPr="0071035F">
        <w:t>in an excellent</w:t>
      </w:r>
      <w:r w:rsidR="009C6EF0" w:rsidRPr="0071035F">
        <w:t xml:space="preserve"> </w:t>
      </w:r>
      <w:r w:rsidR="00CC789C" w:rsidRPr="0071035F">
        <w:t>essay by Alex Calder</w:t>
      </w:r>
      <w:r w:rsidR="00146930">
        <w:t xml:space="preserve"> (</w:t>
      </w:r>
      <w:r w:rsidR="00146930" w:rsidRPr="00146930">
        <w:rPr>
          <w:i/>
          <w:iCs/>
        </w:rPr>
        <w:t>The Settler</w:t>
      </w:r>
      <w:r w:rsidR="00F35C21">
        <w:rPr>
          <w:i/>
          <w:iCs/>
        </w:rPr>
        <w:t>’</w:t>
      </w:r>
      <w:r w:rsidR="00146930" w:rsidRPr="00146930">
        <w:rPr>
          <w:i/>
          <w:iCs/>
        </w:rPr>
        <w:t>s Plot</w:t>
      </w:r>
      <w:r w:rsidR="00146930">
        <w:t xml:space="preserve"> 37-60) </w:t>
      </w:r>
      <w:r w:rsidR="00CC789C" w:rsidRPr="0071035F">
        <w:t xml:space="preserve">while the </w:t>
      </w:r>
      <w:r w:rsidR="00D64FA6" w:rsidRPr="0071035F">
        <w:t>physical, temporal and psycho</w:t>
      </w:r>
      <w:r w:rsidR="00C6326F">
        <w:t>-</w:t>
      </w:r>
      <w:r w:rsidR="009C6EF0" w:rsidRPr="0071035F">
        <w:t>geographic terrains t</w:t>
      </w:r>
      <w:r w:rsidR="006454A0">
        <w:t>ravers</w:t>
      </w:r>
      <w:r w:rsidR="00EF23A3" w:rsidRPr="0071035F">
        <w:t xml:space="preserve">ed by </w:t>
      </w:r>
      <w:r w:rsidR="009C6EF0" w:rsidRPr="0071035F">
        <w:t xml:space="preserve">Earle </w:t>
      </w:r>
      <w:r w:rsidR="00F35C21">
        <w:t>may</w:t>
      </w:r>
      <w:r w:rsidR="00CC789C" w:rsidRPr="0071035F">
        <w:t xml:space="preserve"> be co</w:t>
      </w:r>
      <w:r w:rsidR="009C6EF0" w:rsidRPr="0071035F">
        <w:t>mpared with those detailed</w:t>
      </w:r>
      <w:r w:rsidR="00CC789C" w:rsidRPr="0071035F">
        <w:t xml:space="preserve"> </w:t>
      </w:r>
      <w:r w:rsidR="007A1033" w:rsidRPr="0071035F">
        <w:t xml:space="preserve">in </w:t>
      </w:r>
      <w:r w:rsidR="009C6EF0" w:rsidRPr="0071035F">
        <w:t>the letters and diar</w:t>
      </w:r>
      <w:r w:rsidR="00A16E58" w:rsidRPr="0071035F">
        <w:t xml:space="preserve">ies </w:t>
      </w:r>
      <w:r w:rsidR="00642C9E" w:rsidRPr="0071035F">
        <w:t xml:space="preserve">of </w:t>
      </w:r>
      <w:r w:rsidR="007E7BEB" w:rsidRPr="0071035F">
        <w:t xml:space="preserve">the Reverend </w:t>
      </w:r>
      <w:r w:rsidR="00642C9E" w:rsidRPr="0071035F">
        <w:t>Samuel Marsden, the founder</w:t>
      </w:r>
      <w:r w:rsidR="009C6EF0" w:rsidRPr="0071035F">
        <w:t xml:space="preserve"> of the Church Missionary Society in New Zealand. </w:t>
      </w:r>
      <w:r w:rsidR="008D0922">
        <w:t>Like</w:t>
      </w:r>
      <w:r w:rsidR="00972679">
        <w:t xml:space="preserve"> Earle</w:t>
      </w:r>
      <w:r w:rsidR="00F35C21">
        <w:t>’</w:t>
      </w:r>
      <w:r w:rsidR="00972679">
        <w:t xml:space="preserve">s text, </w:t>
      </w:r>
      <w:r w:rsidR="005519C5">
        <w:t>Marsden</w:t>
      </w:r>
      <w:r w:rsidR="00F35C21">
        <w:t>’</w:t>
      </w:r>
      <w:r w:rsidR="00972679">
        <w:t>s</w:t>
      </w:r>
      <w:r w:rsidR="005519C5">
        <w:t xml:space="preserve"> </w:t>
      </w:r>
      <w:r w:rsidR="005519C5">
        <w:lastRenderedPageBreak/>
        <w:t xml:space="preserve">is </w:t>
      </w:r>
      <w:r w:rsidR="00972679">
        <w:t xml:space="preserve">eminently readable, </w:t>
      </w:r>
      <w:r w:rsidR="005519C5">
        <w:t xml:space="preserve">and </w:t>
      </w:r>
      <w:r w:rsidR="00972679">
        <w:t xml:space="preserve">students </w:t>
      </w:r>
      <w:r w:rsidR="00CC6DB7">
        <w:t xml:space="preserve">soon </w:t>
      </w:r>
      <w:r w:rsidR="00972679">
        <w:t xml:space="preserve">discover that </w:t>
      </w:r>
      <w:r w:rsidR="005519C5">
        <w:t xml:space="preserve">the </w:t>
      </w:r>
      <w:r w:rsidR="00972679">
        <w:t xml:space="preserve">discernible </w:t>
      </w:r>
      <w:r w:rsidR="005519C5">
        <w:t>shifts in its metaphoric</w:t>
      </w:r>
      <w:r w:rsidR="00972679">
        <w:t xml:space="preserve"> patternings </w:t>
      </w:r>
      <w:r w:rsidR="004A7E96">
        <w:t>repay</w:t>
      </w:r>
      <w:r w:rsidR="00972679">
        <w:t xml:space="preserve"> careful inspection. </w:t>
      </w:r>
    </w:p>
    <w:p w14:paraId="61FF4D0E" w14:textId="26830770" w:rsidR="0083714F" w:rsidRPr="0071035F" w:rsidRDefault="009C6EF0" w:rsidP="004D4D84">
      <w:pPr>
        <w:spacing w:after="120" w:line="360" w:lineRule="auto"/>
        <w:ind w:firstLine="720"/>
        <w:jc w:val="both"/>
      </w:pPr>
      <w:r w:rsidRPr="0071035F">
        <w:t xml:space="preserve">As </w:t>
      </w:r>
      <w:r w:rsidR="00B24494" w:rsidRPr="0071035F">
        <w:t>C</w:t>
      </w:r>
      <w:r w:rsidR="007A1033" w:rsidRPr="0071035F">
        <w:t>alder</w:t>
      </w:r>
      <w:r w:rsidR="00F35C21">
        <w:t>’</w:t>
      </w:r>
      <w:r w:rsidR="007F63B3" w:rsidRPr="0071035F">
        <w:t>s article m</w:t>
      </w:r>
      <w:r w:rsidR="003A7202" w:rsidRPr="0071035F">
        <w:t xml:space="preserve">akes clear, Earle </w:t>
      </w:r>
      <w:r w:rsidR="00073340" w:rsidRPr="0071035F">
        <w:t>furnish</w:t>
      </w:r>
      <w:r w:rsidR="003A7202" w:rsidRPr="0071035F">
        <w:t>es</w:t>
      </w:r>
      <w:r w:rsidRPr="0071035F">
        <w:t xml:space="preserve"> </w:t>
      </w:r>
      <w:r w:rsidR="000562C2" w:rsidRPr="0071035F">
        <w:t xml:space="preserve">not only </w:t>
      </w:r>
      <w:r w:rsidR="007F63B3" w:rsidRPr="0071035F">
        <w:t xml:space="preserve">a colourful and </w:t>
      </w:r>
      <w:r w:rsidR="003A7202" w:rsidRPr="0071035F">
        <w:t>entertain</w:t>
      </w:r>
      <w:r w:rsidR="00972679">
        <w:t>ing tale</w:t>
      </w:r>
      <w:r w:rsidR="007F63B3" w:rsidRPr="0071035F">
        <w:t xml:space="preserve">, but </w:t>
      </w:r>
      <w:r w:rsidR="000562C2" w:rsidRPr="0071035F">
        <w:t>also</w:t>
      </w:r>
      <w:r w:rsidRPr="0071035F">
        <w:t xml:space="preserve"> </w:t>
      </w:r>
      <w:r w:rsidR="000562C2" w:rsidRPr="0071035F">
        <w:t xml:space="preserve">a suite of </w:t>
      </w:r>
      <w:r w:rsidR="00D64FA6" w:rsidRPr="0071035F">
        <w:t xml:space="preserve">important early </w:t>
      </w:r>
      <w:r w:rsidR="009A43F4" w:rsidRPr="0071035F">
        <w:t xml:space="preserve">New Zealand </w:t>
      </w:r>
      <w:r w:rsidRPr="0071035F">
        <w:t>painting</w:t>
      </w:r>
      <w:r w:rsidR="00425E14" w:rsidRPr="0071035F">
        <w:t>s</w:t>
      </w:r>
      <w:r w:rsidR="00B24494" w:rsidRPr="0071035F">
        <w:t>;</w:t>
      </w:r>
      <w:r w:rsidR="009A43F4" w:rsidRPr="0071035F">
        <w:t xml:space="preserve"> his artistic </w:t>
      </w:r>
      <w:r w:rsidRPr="0071035F">
        <w:t xml:space="preserve">oeuvre has been published </w:t>
      </w:r>
      <w:r w:rsidR="002A5F91" w:rsidRPr="0071035F">
        <w:t xml:space="preserve">in numerous books </w:t>
      </w:r>
      <w:r w:rsidRPr="0071035F">
        <w:t>and is</w:t>
      </w:r>
      <w:r w:rsidR="002A5F91" w:rsidRPr="0071035F">
        <w:t xml:space="preserve"> </w:t>
      </w:r>
      <w:r w:rsidRPr="0071035F">
        <w:t>widely available online</w:t>
      </w:r>
      <w:r w:rsidR="00B24494" w:rsidRPr="0071035F">
        <w:t>.</w:t>
      </w:r>
      <w:r w:rsidR="00B24494" w:rsidRPr="0071035F">
        <w:rPr>
          <w:rStyle w:val="EndnoteReference"/>
        </w:rPr>
        <w:endnoteReference w:id="3"/>
      </w:r>
      <w:r w:rsidR="00B24494" w:rsidRPr="0071035F">
        <w:t xml:space="preserve"> </w:t>
      </w:r>
      <w:r w:rsidR="009A43F4" w:rsidRPr="0071035F">
        <w:t>T</w:t>
      </w:r>
      <w:r w:rsidR="00B24494" w:rsidRPr="0071035F">
        <w:t>he</w:t>
      </w:r>
      <w:r w:rsidR="009A43F4" w:rsidRPr="0071035F">
        <w:t>se</w:t>
      </w:r>
      <w:r w:rsidR="00B24494" w:rsidRPr="0071035F">
        <w:t xml:space="preserve"> images </w:t>
      </w:r>
      <w:r w:rsidR="009A43F4" w:rsidRPr="0071035F">
        <w:t xml:space="preserve">correspond closely to </w:t>
      </w:r>
      <w:r w:rsidR="00B24494" w:rsidRPr="0071035F">
        <w:t>the</w:t>
      </w:r>
      <w:r w:rsidR="009A43F4" w:rsidRPr="0071035F">
        <w:t xml:space="preserve"> events and scenes recounted in the</w:t>
      </w:r>
      <w:r w:rsidR="00B24494" w:rsidRPr="0071035F">
        <w:t xml:space="preserve"> </w:t>
      </w:r>
      <w:r w:rsidR="00B24494" w:rsidRPr="0071035F">
        <w:rPr>
          <w:i/>
        </w:rPr>
        <w:t>Narrative</w:t>
      </w:r>
      <w:r w:rsidR="00B24494" w:rsidRPr="0071035F">
        <w:t xml:space="preserve">, </w:t>
      </w:r>
      <w:r w:rsidR="003A7202" w:rsidRPr="0071035F">
        <w:t>enabling</w:t>
      </w:r>
      <w:r w:rsidR="007E7BEB" w:rsidRPr="0071035F">
        <w:t xml:space="preserve"> students to</w:t>
      </w:r>
      <w:r w:rsidR="0071035F">
        <w:t xml:space="preserve"> assemble</w:t>
      </w:r>
      <w:r w:rsidR="00EF23A3" w:rsidRPr="0071035F">
        <w:t xml:space="preserve"> a </w:t>
      </w:r>
      <w:r w:rsidR="00D64FA6" w:rsidRPr="0071035F">
        <w:t>vivid picture</w:t>
      </w:r>
      <w:r w:rsidR="002A5F91" w:rsidRPr="0071035F">
        <w:t xml:space="preserve"> of</w:t>
      </w:r>
      <w:r w:rsidR="00B24494" w:rsidRPr="0071035F">
        <w:t xml:space="preserve"> the milieu in which Earle lived and worked</w:t>
      </w:r>
      <w:r w:rsidR="00F608B3" w:rsidRPr="0071035F">
        <w:t xml:space="preserve">. </w:t>
      </w:r>
      <w:r w:rsidR="00710087" w:rsidRPr="0071035F">
        <w:t>As is the case with Forster</w:t>
      </w:r>
      <w:r w:rsidR="00F35C21">
        <w:t>’</w:t>
      </w:r>
      <w:r w:rsidR="00710087" w:rsidRPr="0071035F">
        <w:t>s journal</w:t>
      </w:r>
      <w:r w:rsidR="000562C2" w:rsidRPr="0071035F">
        <w:t>,</w:t>
      </w:r>
      <w:r w:rsidR="00EF23A3" w:rsidRPr="0071035F">
        <w:t xml:space="preserve"> </w:t>
      </w:r>
      <w:r w:rsidR="00B24494" w:rsidRPr="0071035F">
        <w:t>the</w:t>
      </w:r>
      <w:r w:rsidR="002A5F91" w:rsidRPr="0071035F">
        <w:t>se images</w:t>
      </w:r>
      <w:r w:rsidR="005D2B7E" w:rsidRPr="0071035F">
        <w:t xml:space="preserve"> are useful for develop</w:t>
      </w:r>
      <w:r w:rsidR="00B24494" w:rsidRPr="0071035F">
        <w:t xml:space="preserve">ing </w:t>
      </w:r>
      <w:r w:rsidR="005D2B7E" w:rsidRPr="0071035F">
        <w:t xml:space="preserve">classroom </w:t>
      </w:r>
      <w:r w:rsidR="00B24494" w:rsidRPr="0071035F">
        <w:t xml:space="preserve">discussion of how </w:t>
      </w:r>
      <w:r w:rsidR="007112B1">
        <w:t xml:space="preserve">so-called </w:t>
      </w:r>
      <w:r w:rsidR="00F35C21">
        <w:t>‘</w:t>
      </w:r>
      <w:r w:rsidR="00B24494" w:rsidRPr="0071035F">
        <w:t>n</w:t>
      </w:r>
      <w:r w:rsidR="00F608B3" w:rsidRPr="0071035F">
        <w:t>ew</w:t>
      </w:r>
      <w:r w:rsidR="007112B1">
        <w:t xml:space="preserve"> world</w:t>
      </w:r>
      <w:r w:rsidR="00F35C21">
        <w:t>’</w:t>
      </w:r>
      <w:r w:rsidR="00F608B3" w:rsidRPr="0071035F">
        <w:t xml:space="preserve"> </w:t>
      </w:r>
      <w:r w:rsidR="00B24494" w:rsidRPr="0071035F">
        <w:t>place</w:t>
      </w:r>
      <w:r w:rsidR="002A5F91" w:rsidRPr="0071035F">
        <w:t>s are written through</w:t>
      </w:r>
      <w:r w:rsidR="00F608B3" w:rsidRPr="0071035F">
        <w:t xml:space="preserve">. </w:t>
      </w:r>
      <w:r w:rsidR="00B24494" w:rsidRPr="0071035F">
        <w:t>Earle</w:t>
      </w:r>
      <w:r w:rsidR="00F35C21">
        <w:t>’</w:t>
      </w:r>
      <w:r w:rsidR="002A5F91" w:rsidRPr="0071035F">
        <w:t xml:space="preserve">s </w:t>
      </w:r>
      <w:r w:rsidR="00A16E58" w:rsidRPr="0071035F">
        <w:t>1</w:t>
      </w:r>
      <w:r w:rsidR="00A227DE">
        <w:t>8</w:t>
      </w:r>
      <w:r w:rsidR="00A16E58" w:rsidRPr="0071035F">
        <w:t>28</w:t>
      </w:r>
      <w:r w:rsidR="00710087" w:rsidRPr="0071035F">
        <w:t xml:space="preserve"> </w:t>
      </w:r>
      <w:r w:rsidR="002A5F91" w:rsidRPr="0071035F">
        <w:t>painting</w:t>
      </w:r>
      <w:r w:rsidR="00B24494" w:rsidRPr="0071035F">
        <w:t xml:space="preserve"> of Kerikeri, for instance, depicts the </w:t>
      </w:r>
      <w:r w:rsidR="00F2713C" w:rsidRPr="0071035F">
        <w:t xml:space="preserve">decade-old </w:t>
      </w:r>
      <w:r w:rsidR="00B24494" w:rsidRPr="0071035F">
        <w:t>mission compound</w:t>
      </w:r>
      <w:r w:rsidR="005D5DBE" w:rsidRPr="0071035F">
        <w:t xml:space="preserve"> as </w:t>
      </w:r>
      <w:r w:rsidR="00710087" w:rsidRPr="0071035F">
        <w:t xml:space="preserve">a tiny </w:t>
      </w:r>
      <w:r w:rsidR="005D5DBE" w:rsidRPr="0071035F">
        <w:t>stockade</w:t>
      </w:r>
      <w:r w:rsidR="00B24494" w:rsidRPr="0071035F">
        <w:t>d</w:t>
      </w:r>
      <w:r w:rsidR="005D5DBE" w:rsidRPr="0071035F">
        <w:t xml:space="preserve"> </w:t>
      </w:r>
      <w:r w:rsidR="00A16E58" w:rsidRPr="0071035F">
        <w:t>island</w:t>
      </w:r>
      <w:r w:rsidR="00B24494" w:rsidRPr="0071035F">
        <w:t xml:space="preserve"> </w:t>
      </w:r>
      <w:r w:rsidR="002A5F91" w:rsidRPr="0071035F">
        <w:t xml:space="preserve">of Englishness </w:t>
      </w:r>
      <w:r w:rsidR="00B24494" w:rsidRPr="0071035F">
        <w:t>within a larger</w:t>
      </w:r>
      <w:r w:rsidR="00F35C21">
        <w:t>, as-yet-un</w:t>
      </w:r>
      <w:r w:rsidR="002A5F91" w:rsidRPr="0071035F">
        <w:t>reconstructed</w:t>
      </w:r>
      <w:r w:rsidR="00B24494" w:rsidRPr="0071035F">
        <w:t xml:space="preserve"> landscape. Not only does the picture register the lack</w:t>
      </w:r>
      <w:r w:rsidR="005D5DBE" w:rsidRPr="0071035F">
        <w:t xml:space="preserve"> of </w:t>
      </w:r>
      <w:r w:rsidR="00B24494" w:rsidRPr="0071035F">
        <w:t xml:space="preserve">an agronomic patchwork </w:t>
      </w:r>
      <w:r w:rsidR="005D5DBE" w:rsidRPr="0071035F">
        <w:t>spread</w:t>
      </w:r>
      <w:r w:rsidR="00B24494" w:rsidRPr="0071035F">
        <w:t xml:space="preserve">ing out across the hills behind the mission station, but it </w:t>
      </w:r>
      <w:r w:rsidR="002A5F91" w:rsidRPr="0071035F">
        <w:t xml:space="preserve">testifies to the defiant and dominant presence of a </w:t>
      </w:r>
      <w:r w:rsidR="0071035F">
        <w:t>Mā</w:t>
      </w:r>
      <w:r w:rsidR="005D5DBE" w:rsidRPr="0071035F">
        <w:t>ori burial shelter</w:t>
      </w:r>
      <w:r w:rsidR="00EF23A3" w:rsidRPr="0071035F">
        <w:t xml:space="preserve">—tell-tale signs </w:t>
      </w:r>
      <w:r w:rsidR="005D2B7E" w:rsidRPr="0071035F">
        <w:t xml:space="preserve">that the missionaries have made </w:t>
      </w:r>
      <w:r w:rsidR="00425E14" w:rsidRPr="0071035F">
        <w:t xml:space="preserve">only halting </w:t>
      </w:r>
      <w:r w:rsidR="00EF23A3" w:rsidRPr="0071035F">
        <w:t>progress</w:t>
      </w:r>
      <w:r w:rsidR="005D5DBE" w:rsidRPr="0071035F">
        <w:t>.</w:t>
      </w:r>
      <w:r w:rsidR="002A5F91" w:rsidRPr="0071035F">
        <w:t xml:space="preserve"> Other images—such as Earle</w:t>
      </w:r>
      <w:r w:rsidR="00F35C21">
        <w:t>’</w:t>
      </w:r>
      <w:r w:rsidR="002A5F91" w:rsidRPr="0071035F">
        <w:t>s careful sketches of tattooing procedures and architectural structures—</w:t>
      </w:r>
      <w:r w:rsidR="003E2267">
        <w:t>offer representations of</w:t>
      </w:r>
      <w:r w:rsidR="009A43F4" w:rsidRPr="0071035F">
        <w:t xml:space="preserve"> </w:t>
      </w:r>
      <w:r w:rsidR="004667EB">
        <w:t>I</w:t>
      </w:r>
      <w:r w:rsidR="00AF1335" w:rsidRPr="0071035F">
        <w:t>ndigenous inscription system</w:t>
      </w:r>
      <w:r w:rsidR="002A5F91" w:rsidRPr="0071035F">
        <w:t xml:space="preserve">s. </w:t>
      </w:r>
      <w:r w:rsidR="00073340" w:rsidRPr="0071035F">
        <w:t>For</w:t>
      </w:r>
      <w:r w:rsidR="007F6F0F" w:rsidRPr="0071035F">
        <w:t xml:space="preserve"> this</w:t>
      </w:r>
      <w:r w:rsidR="00073340" w:rsidRPr="0071035F">
        <w:t xml:space="preserve"> reason</w:t>
      </w:r>
      <w:r w:rsidR="007F6F0F" w:rsidRPr="0071035F">
        <w:t xml:space="preserve">, </w:t>
      </w:r>
      <w:r w:rsidR="00BB677D">
        <w:t>it can be particularly instructive to frame</w:t>
      </w:r>
      <w:r w:rsidR="00735F57" w:rsidRPr="0071035F">
        <w:t xml:space="preserve"> Earle</w:t>
      </w:r>
      <w:r w:rsidR="00F35C21">
        <w:t>’</w:t>
      </w:r>
      <w:r w:rsidR="00735F57" w:rsidRPr="0071035F">
        <w:t>s work with excerpts from Deidre Brown</w:t>
      </w:r>
      <w:r w:rsidR="00F35C21">
        <w:t>’</w:t>
      </w:r>
      <w:r w:rsidR="00735F57" w:rsidRPr="0071035F">
        <w:t xml:space="preserve">s </w:t>
      </w:r>
      <w:r w:rsidR="00F35C21">
        <w:rPr>
          <w:i/>
        </w:rPr>
        <w:t>Tai Tokerau Whakairo Rā</w:t>
      </w:r>
      <w:r w:rsidR="00735F57" w:rsidRPr="0071035F">
        <w:rPr>
          <w:i/>
        </w:rPr>
        <w:t>kau</w:t>
      </w:r>
      <w:r w:rsidR="00664E96">
        <w:t xml:space="preserve"> (2004),</w:t>
      </w:r>
      <w:r w:rsidR="003E2267">
        <w:t xml:space="preserve"> or</w:t>
      </w:r>
      <w:r w:rsidR="00334D84">
        <w:t xml:space="preserve"> </w:t>
      </w:r>
      <w:r w:rsidR="005662CA">
        <w:t xml:space="preserve">from </w:t>
      </w:r>
      <w:r w:rsidR="00735F57" w:rsidRPr="0071035F">
        <w:t>Penny van Toorn</w:t>
      </w:r>
      <w:r w:rsidR="00F35C21">
        <w:t>’</w:t>
      </w:r>
      <w:r w:rsidR="00735F57" w:rsidRPr="0071035F">
        <w:t xml:space="preserve">s </w:t>
      </w:r>
      <w:r w:rsidR="00735F57" w:rsidRPr="0071035F">
        <w:rPr>
          <w:i/>
        </w:rPr>
        <w:t>Writing Never Arrives Naked</w:t>
      </w:r>
      <w:r w:rsidR="007112B1">
        <w:t xml:space="preserve"> (2006</w:t>
      </w:r>
      <w:r w:rsidR="00664E96">
        <w:t>)</w:t>
      </w:r>
      <w:r w:rsidR="007A1033" w:rsidRPr="0071035F">
        <w:t>.</w:t>
      </w:r>
      <w:r w:rsidR="002A5F91" w:rsidRPr="0071035F">
        <w:t xml:space="preserve"> </w:t>
      </w:r>
      <w:r w:rsidR="00735F57" w:rsidRPr="0071035F">
        <w:t xml:space="preserve">As van Toorn proposes, and as Brown implies, </w:t>
      </w:r>
      <w:r w:rsidR="007A1033" w:rsidRPr="0071035F">
        <w:t>it is crucial</w:t>
      </w:r>
      <w:r w:rsidR="002A5F91" w:rsidRPr="0071035F">
        <w:t xml:space="preserve"> to atten</w:t>
      </w:r>
      <w:r w:rsidR="00735F57" w:rsidRPr="0071035F">
        <w:t>d</w:t>
      </w:r>
      <w:r w:rsidR="00757770" w:rsidRPr="0071035F">
        <w:t xml:space="preserve"> to </w:t>
      </w:r>
      <w:r w:rsidR="002A5F91" w:rsidRPr="0071035F">
        <w:t xml:space="preserve">practices </w:t>
      </w:r>
      <w:r w:rsidR="00757770" w:rsidRPr="0071035F">
        <w:t xml:space="preserve">such as carving </w:t>
      </w:r>
      <w:r w:rsidR="006D0006">
        <w:t>and textile production</w:t>
      </w:r>
      <w:r w:rsidR="003A7202" w:rsidRPr="0071035F">
        <w:t xml:space="preserve"> </w:t>
      </w:r>
      <w:r w:rsidR="002A5F91" w:rsidRPr="0071035F">
        <w:t>in order to move bey</w:t>
      </w:r>
      <w:r w:rsidR="00F35C21">
        <w:t>ond simple binaries that posit “literacy” and “illiteracy”</w:t>
      </w:r>
      <w:r w:rsidR="002A5F91" w:rsidRPr="0071035F">
        <w:t xml:space="preserve"> </w:t>
      </w:r>
      <w:r w:rsidR="00710087" w:rsidRPr="0071035F">
        <w:t>(</w:t>
      </w:r>
      <w:r w:rsidR="00F35C21">
        <w:t>or “non-literacy”</w:t>
      </w:r>
      <w:r w:rsidR="00710087" w:rsidRPr="0071035F">
        <w:t>)</w:t>
      </w:r>
      <w:r w:rsidR="002A5F91" w:rsidRPr="0071035F">
        <w:t xml:space="preserve"> as evolutionary poles. </w:t>
      </w:r>
      <w:r w:rsidR="005D2B7E" w:rsidRPr="0071035F">
        <w:t xml:space="preserve">Such a focus </w:t>
      </w:r>
      <w:r w:rsidR="002F2054">
        <w:t>makes manifest</w:t>
      </w:r>
      <w:r w:rsidR="007F6F0F" w:rsidRPr="0071035F">
        <w:t xml:space="preserve"> elements of an existing Indigenous sensible order, offering</w:t>
      </w:r>
      <w:r w:rsidR="00C47AE4">
        <w:t xml:space="preserve"> </w:t>
      </w:r>
      <w:r w:rsidR="00735F57" w:rsidRPr="0071035F">
        <w:t xml:space="preserve">pedagogically-important </w:t>
      </w:r>
      <w:r w:rsidR="005D2B7E" w:rsidRPr="0071035F">
        <w:t>counterpoint</w:t>
      </w:r>
      <w:r w:rsidR="00C47AE4">
        <w:t>s</w:t>
      </w:r>
      <w:r w:rsidR="005D2B7E" w:rsidRPr="0071035F">
        <w:t xml:space="preserve"> to</w:t>
      </w:r>
      <w:r w:rsidR="00425E14" w:rsidRPr="0071035F">
        <w:t xml:space="preserve"> European writing of this</w:t>
      </w:r>
      <w:r w:rsidR="007F6F0F" w:rsidRPr="0071035F">
        <w:t xml:space="preserve"> period</w:t>
      </w:r>
      <w:r w:rsidR="00735F57" w:rsidRPr="0071035F">
        <w:t>.</w:t>
      </w:r>
    </w:p>
    <w:p w14:paraId="1A3C064D" w14:textId="397136BD" w:rsidR="008210A7" w:rsidRPr="0071035F" w:rsidRDefault="003968D1" w:rsidP="004D4D84">
      <w:pPr>
        <w:spacing w:after="120" w:line="360" w:lineRule="auto"/>
        <w:ind w:firstLine="720"/>
        <w:jc w:val="both"/>
      </w:pPr>
      <w:r w:rsidRPr="0071035F">
        <w:t>The imposs</w:t>
      </w:r>
      <w:r w:rsidR="00F35C21">
        <w:t>ibility of ever having arrived “properly”</w:t>
      </w:r>
      <w:r w:rsidRPr="0071035F">
        <w:t xml:space="preserve"> is centrally at issue </w:t>
      </w:r>
      <w:r>
        <w:t>i</w:t>
      </w:r>
      <w:r w:rsidR="00710087" w:rsidRPr="0071035F">
        <w:t>n F. E. Maning</w:t>
      </w:r>
      <w:r w:rsidR="00F35C21">
        <w:t>’</w:t>
      </w:r>
      <w:r w:rsidR="00710087" w:rsidRPr="0071035F">
        <w:t xml:space="preserve">s </w:t>
      </w:r>
      <w:r w:rsidR="00710087" w:rsidRPr="0071035F">
        <w:rPr>
          <w:i/>
        </w:rPr>
        <w:t>Old New Zealand</w:t>
      </w:r>
      <w:r w:rsidR="00C751F6">
        <w:t xml:space="preserve"> (1863).</w:t>
      </w:r>
      <w:r w:rsidR="00710087" w:rsidRPr="0071035F">
        <w:t xml:space="preserve"> </w:t>
      </w:r>
      <w:r>
        <w:t>A</w:t>
      </w:r>
      <w:r w:rsidR="00F35C21">
        <w:t xml:space="preserve"> beachcomber or “</w:t>
      </w:r>
      <w:r w:rsidR="00A227DE">
        <w:t>pakeha</w:t>
      </w:r>
      <w:r w:rsidR="00777890">
        <w:t xml:space="preserve"> </w:t>
      </w:r>
      <w:r w:rsidR="00A16690">
        <w:t>Ma</w:t>
      </w:r>
      <w:r w:rsidR="00F35C21">
        <w:t>ori”</w:t>
      </w:r>
      <w:r w:rsidR="00E405C9">
        <w:t xml:space="preserve"> </w:t>
      </w:r>
      <w:r>
        <w:t xml:space="preserve">who </w:t>
      </w:r>
      <w:r w:rsidR="002A0F52">
        <w:t xml:space="preserve">deals with </w:t>
      </w:r>
      <w:r>
        <w:t>the period</w:t>
      </w:r>
      <w:r w:rsidR="008210A7" w:rsidRPr="0071035F">
        <w:t xml:space="preserve"> after the signing of the Tre</w:t>
      </w:r>
      <w:r>
        <w:t>aty of Waitangi in 1840, Maning</w:t>
      </w:r>
      <w:r w:rsidR="008210A7" w:rsidRPr="0071035F">
        <w:t xml:space="preserve"> is deeply concerned with </w:t>
      </w:r>
      <w:r w:rsidR="00B20093" w:rsidRPr="0071035F">
        <w:t xml:space="preserve">what might be termed </w:t>
      </w:r>
      <w:r w:rsidR="00710087" w:rsidRPr="0071035F">
        <w:t xml:space="preserve">the </w:t>
      </w:r>
      <w:r w:rsidR="008F1836">
        <w:t>groundlessness</w:t>
      </w:r>
      <w:r w:rsidR="00B20093" w:rsidRPr="0071035F">
        <w:t xml:space="preserve"> of the </w:t>
      </w:r>
      <w:r w:rsidR="00710087" w:rsidRPr="0071035F">
        <w:t xml:space="preserve">grounds of </w:t>
      </w:r>
      <w:r w:rsidR="003A7202" w:rsidRPr="0071035F">
        <w:t xml:space="preserve">European </w:t>
      </w:r>
      <w:r w:rsidR="001C092A">
        <w:t>settlement, and h</w:t>
      </w:r>
      <w:r>
        <w:t>e</w:t>
      </w:r>
      <w:r w:rsidR="00794958">
        <w:t xml:space="preserve"> has </w:t>
      </w:r>
      <w:r w:rsidR="001B6A18" w:rsidRPr="0071035F">
        <w:t xml:space="preserve">come </w:t>
      </w:r>
      <w:r w:rsidR="00794958">
        <w:t xml:space="preserve">to be </w:t>
      </w:r>
      <w:r w:rsidR="00936722">
        <w:t>recogniz</w:t>
      </w:r>
      <w:r w:rsidR="00313CD8">
        <w:t xml:space="preserve">ed as </w:t>
      </w:r>
      <w:r w:rsidR="001B6A18" w:rsidRPr="0071035F">
        <w:t xml:space="preserve">perhaps </w:t>
      </w:r>
      <w:r w:rsidR="001B6A18" w:rsidRPr="0071035F">
        <w:rPr>
          <w:i/>
        </w:rPr>
        <w:t>the</w:t>
      </w:r>
      <w:r w:rsidR="008210A7" w:rsidRPr="0071035F">
        <w:t xml:space="preserve"> key figu</w:t>
      </w:r>
      <w:r w:rsidR="00F35C21">
        <w:t>re in the writing of nineteenth-</w:t>
      </w:r>
      <w:r w:rsidR="008210A7" w:rsidRPr="0071035F">
        <w:t>ce</w:t>
      </w:r>
      <w:r w:rsidR="001B6A18" w:rsidRPr="0071035F">
        <w:t>ntury New Zealand</w:t>
      </w:r>
      <w:r w:rsidR="008210A7" w:rsidRPr="0071035F">
        <w:t xml:space="preserve">. </w:t>
      </w:r>
      <w:r w:rsidR="001B6A18" w:rsidRPr="0071035F">
        <w:t xml:space="preserve">The same </w:t>
      </w:r>
      <w:r w:rsidR="00D503C9" w:rsidRPr="0071035F">
        <w:t>compl</w:t>
      </w:r>
      <w:r w:rsidR="007F63B3" w:rsidRPr="0071035F">
        <w:t xml:space="preserve">exity that </w:t>
      </w:r>
      <w:r w:rsidR="00755925">
        <w:t xml:space="preserve">attracts </w:t>
      </w:r>
      <w:r w:rsidR="008C22F8">
        <w:t>professional</w:t>
      </w:r>
      <w:r w:rsidR="007459CC" w:rsidRPr="0071035F">
        <w:t xml:space="preserve"> </w:t>
      </w:r>
      <w:r w:rsidR="00D503C9" w:rsidRPr="0071035F">
        <w:t xml:space="preserve">academic </w:t>
      </w:r>
      <w:r w:rsidR="001B6A18" w:rsidRPr="0071035F">
        <w:t>research</w:t>
      </w:r>
      <w:r w:rsidR="007459CC" w:rsidRPr="0071035F">
        <w:t>ers</w:t>
      </w:r>
      <w:r w:rsidR="001B6A18" w:rsidRPr="0071035F">
        <w:t xml:space="preserve"> </w:t>
      </w:r>
      <w:r w:rsidR="00D67D64">
        <w:t xml:space="preserve">to his work </w:t>
      </w:r>
      <w:r w:rsidR="00D503C9" w:rsidRPr="0071035F">
        <w:t>can</w:t>
      </w:r>
      <w:r w:rsidR="00672F04">
        <w:t>, however, make Maning</w:t>
      </w:r>
      <w:r w:rsidR="001B6A18" w:rsidRPr="0071035F">
        <w:t xml:space="preserve"> </w:t>
      </w:r>
      <w:r w:rsidR="00D172B6">
        <w:t>a challeng</w:t>
      </w:r>
      <w:r w:rsidR="00D503C9" w:rsidRPr="0071035F">
        <w:t>e</w:t>
      </w:r>
      <w:r w:rsidR="008210A7" w:rsidRPr="0071035F">
        <w:t xml:space="preserve"> in the undergraduate classroom</w:t>
      </w:r>
      <w:r w:rsidR="001B6A18" w:rsidRPr="0071035F">
        <w:t>,</w:t>
      </w:r>
      <w:r w:rsidR="008210A7" w:rsidRPr="0071035F">
        <w:t xml:space="preserve"> </w:t>
      </w:r>
      <w:r w:rsidR="001B6A18" w:rsidRPr="0071035F">
        <w:t xml:space="preserve">not least </w:t>
      </w:r>
      <w:r w:rsidR="008210A7" w:rsidRPr="0071035F">
        <w:t xml:space="preserve">because of </w:t>
      </w:r>
      <w:r w:rsidR="001C4E90" w:rsidRPr="0071035F">
        <w:t>the choppiness</w:t>
      </w:r>
      <w:r w:rsidR="008210A7" w:rsidRPr="0071035F">
        <w:t xml:space="preserve"> of his </w:t>
      </w:r>
      <w:r w:rsidR="007E37DB">
        <w:t>tone (</w:t>
      </w:r>
      <w:r w:rsidR="001B6A18" w:rsidRPr="0071035F">
        <w:t xml:space="preserve">which is </w:t>
      </w:r>
      <w:r w:rsidR="008210A7" w:rsidRPr="0071035F">
        <w:t xml:space="preserve">jokey, </w:t>
      </w:r>
      <w:r w:rsidR="00CC6DB7">
        <w:lastRenderedPageBreak/>
        <w:t xml:space="preserve">flippant, </w:t>
      </w:r>
      <w:r w:rsidR="008210A7" w:rsidRPr="0071035F">
        <w:t>v</w:t>
      </w:r>
      <w:r w:rsidR="001B6A18" w:rsidRPr="0071035F">
        <w:t>ituperous, sombre and melancholy</w:t>
      </w:r>
      <w:r w:rsidR="008210A7" w:rsidRPr="0071035F">
        <w:t xml:space="preserve"> by </w:t>
      </w:r>
      <w:r w:rsidR="00A83C71" w:rsidRPr="0071035F">
        <w:t xml:space="preserve">unpredictable </w:t>
      </w:r>
      <w:r w:rsidR="008210A7" w:rsidRPr="0071035F">
        <w:t>turns</w:t>
      </w:r>
      <w:r w:rsidR="007E37DB">
        <w:t>)</w:t>
      </w:r>
      <w:r w:rsidR="00DC3D1A">
        <w:t>, the contradictoriness of his</w:t>
      </w:r>
      <w:r w:rsidR="007E37DB">
        <w:t xml:space="preserve"> </w:t>
      </w:r>
      <w:r w:rsidR="007E37DB" w:rsidRPr="0071035F">
        <w:t>sentiments</w:t>
      </w:r>
      <w:r w:rsidR="00EB49A1">
        <w:t xml:space="preserve"> (</w:t>
      </w:r>
      <w:r w:rsidR="007E37DB">
        <w:t>which were</w:t>
      </w:r>
      <w:r w:rsidR="004667EB">
        <w:t xml:space="preserve"> subject to concerted revision by Maning himself over the course of his writing career</w:t>
      </w:r>
      <w:r w:rsidR="00EB49A1">
        <w:t>)</w:t>
      </w:r>
      <w:r w:rsidR="00DC3D1A">
        <w:t>,</w:t>
      </w:r>
      <w:r w:rsidR="00DC3D1A" w:rsidRPr="00DC3D1A">
        <w:t xml:space="preserve"> </w:t>
      </w:r>
      <w:r w:rsidR="00DC3D1A">
        <w:t>and the</w:t>
      </w:r>
      <w:r w:rsidR="00DC3D1A" w:rsidRPr="0071035F">
        <w:t xml:space="preserve"> shifty use of narrative m</w:t>
      </w:r>
      <w:r w:rsidR="00F33414">
        <w:t>asks</w:t>
      </w:r>
      <w:r w:rsidR="008210A7" w:rsidRPr="0071035F">
        <w:t>.</w:t>
      </w:r>
      <w:r w:rsidR="00D172B6">
        <w:t xml:space="preserve"> I encourage students to embrac</w:t>
      </w:r>
      <w:r w:rsidR="00E405C9">
        <w:t>e</w:t>
      </w:r>
      <w:r w:rsidR="008210A7" w:rsidRPr="0071035F">
        <w:t xml:space="preserve"> the</w:t>
      </w:r>
      <w:r w:rsidR="00757770" w:rsidRPr="0071035F">
        <w:t>se difficulties</w:t>
      </w:r>
      <w:r w:rsidR="00C6326F">
        <w:t>:</w:t>
      </w:r>
      <w:r w:rsidR="008210A7" w:rsidRPr="0071035F">
        <w:t xml:space="preserve"> Maning is difficult</w:t>
      </w:r>
      <w:r w:rsidR="00351800" w:rsidRPr="0071035F">
        <w:t xml:space="preserve"> because </w:t>
      </w:r>
      <w:r w:rsidR="00F35C21">
        <w:t>“</w:t>
      </w:r>
      <w:r w:rsidR="00351800" w:rsidRPr="0071035F">
        <w:t>N</w:t>
      </w:r>
      <w:r w:rsidR="008210A7" w:rsidRPr="0071035F">
        <w:t xml:space="preserve">ew </w:t>
      </w:r>
      <w:r w:rsidR="00351800" w:rsidRPr="0071035F">
        <w:t>Z</w:t>
      </w:r>
      <w:r w:rsidR="00F35C21">
        <w:t xml:space="preserve">ealand” </w:t>
      </w:r>
      <w:r w:rsidR="00351800" w:rsidRPr="0071035F">
        <w:t>is difficult</w:t>
      </w:r>
      <w:r w:rsidR="008210A7" w:rsidRPr="0071035F">
        <w:t xml:space="preserve">, </w:t>
      </w:r>
      <w:r w:rsidR="007E7BEB" w:rsidRPr="0071035F">
        <w:t>and the value of his writing is that it can shake</w:t>
      </w:r>
      <w:r w:rsidR="008210A7" w:rsidRPr="0071035F">
        <w:t xml:space="preserve"> from </w:t>
      </w:r>
      <w:r w:rsidR="007E7BEB" w:rsidRPr="0071035F">
        <w:t xml:space="preserve">us </w:t>
      </w:r>
      <w:r w:rsidR="008210A7" w:rsidRPr="0071035F">
        <w:t>any sense of complacency about this place.</w:t>
      </w:r>
      <w:r w:rsidR="00B20093" w:rsidRPr="0071035F">
        <w:t xml:space="preserve"> As well as dealing extensively with the question of land transactions and the legalities of settlement—Maning was, himself, a judge in the Native Land Court—</w:t>
      </w:r>
      <w:r w:rsidR="007459CC" w:rsidRPr="0071035F">
        <w:t>his work</w:t>
      </w:r>
      <w:r w:rsidR="00B20093" w:rsidRPr="0071035F">
        <w:t xml:space="preserve"> supplies </w:t>
      </w:r>
      <w:r w:rsidR="00D503C9" w:rsidRPr="0071035F">
        <w:t xml:space="preserve">a number of </w:t>
      </w:r>
      <w:r w:rsidR="00B20093" w:rsidRPr="0071035F">
        <w:t>concepts and phrases</w:t>
      </w:r>
      <w:r w:rsidR="00CC6DB7">
        <w:t xml:space="preserve"> which characteriz</w:t>
      </w:r>
      <w:r w:rsidR="00D503C9" w:rsidRPr="0071035F">
        <w:t xml:space="preserve">e </w:t>
      </w:r>
      <w:r w:rsidR="001B2075" w:rsidRPr="0071035F">
        <w:t xml:space="preserve">bedrock problems </w:t>
      </w:r>
      <w:r w:rsidR="000E5137">
        <w:t>connect</w:t>
      </w:r>
      <w:r w:rsidR="005F1D51">
        <w:t>ed</w:t>
      </w:r>
      <w:r w:rsidR="007F6F0F" w:rsidRPr="0071035F">
        <w:t xml:space="preserve"> </w:t>
      </w:r>
      <w:r w:rsidR="001B2075" w:rsidRPr="0071035F">
        <w:t>with</w:t>
      </w:r>
      <w:r w:rsidR="00757770" w:rsidRPr="0071035F">
        <w:t xml:space="preserve"> settler-colonialism as </w:t>
      </w:r>
      <w:r w:rsidR="004A7E96">
        <w:t>enterpris</w:t>
      </w:r>
      <w:r w:rsidR="00D503C9" w:rsidRPr="0071035F">
        <w:t>e</w:t>
      </w:r>
      <w:r w:rsidR="00757770" w:rsidRPr="0071035F">
        <w:t xml:space="preserve"> and ideology</w:t>
      </w:r>
      <w:r w:rsidR="00F35C21">
        <w:t>. “Trying back”</w:t>
      </w:r>
      <w:r w:rsidR="00B20093" w:rsidRPr="0071035F">
        <w:t>—</w:t>
      </w:r>
      <w:r w:rsidR="007F6F0F" w:rsidRPr="0071035F">
        <w:t>the vain hope that things might</w:t>
      </w:r>
      <w:r w:rsidR="00B20093" w:rsidRPr="0071035F">
        <w:t xml:space="preserve"> be put </w:t>
      </w:r>
      <w:r w:rsidR="004A7E96">
        <w:t>on the right footing if only you</w:t>
      </w:r>
      <w:r w:rsidR="00B20093" w:rsidRPr="0071035F">
        <w:t xml:space="preserve"> could start over—is a key trope i</w:t>
      </w:r>
      <w:r w:rsidR="00C75DC9" w:rsidRPr="0071035F">
        <w:t>n his writing, as is the predicament</w:t>
      </w:r>
      <w:r w:rsidR="00B20093" w:rsidRPr="0071035F">
        <w:t xml:space="preserve"> </w:t>
      </w:r>
      <w:r w:rsidR="00F35C21">
        <w:t>of being “tapu’d”</w:t>
      </w:r>
      <w:r w:rsidR="00B20093" w:rsidRPr="0071035F">
        <w:t xml:space="preserve">, or marked by the </w:t>
      </w:r>
      <w:r w:rsidR="00B43ABE">
        <w:t xml:space="preserve">prior-peopled </w:t>
      </w:r>
      <w:r w:rsidR="00B20093" w:rsidRPr="0071035F">
        <w:t xml:space="preserve">place in such a way that you are not </w:t>
      </w:r>
      <w:r w:rsidR="00D503C9" w:rsidRPr="0071035F">
        <w:t>(</w:t>
      </w:r>
      <w:r w:rsidR="001B6A18" w:rsidRPr="0071035F">
        <w:t>and cannot ever again be</w:t>
      </w:r>
      <w:r w:rsidR="00D503C9" w:rsidRPr="0071035F">
        <w:t>)</w:t>
      </w:r>
      <w:r w:rsidR="001B6A18" w:rsidRPr="0071035F">
        <w:t xml:space="preserve"> </w:t>
      </w:r>
      <w:r w:rsidR="00B20093" w:rsidRPr="0071035F">
        <w:t xml:space="preserve">rightfully </w:t>
      </w:r>
      <w:r w:rsidR="00F35C21">
        <w:t>“</w:t>
      </w:r>
      <w:r w:rsidR="00B20093" w:rsidRPr="0071035F">
        <w:t>yourself</w:t>
      </w:r>
      <w:r w:rsidR="00F35C21">
        <w:t xml:space="preserve">.” </w:t>
      </w:r>
    </w:p>
    <w:p w14:paraId="0BCA8740" w14:textId="5A1EC193" w:rsidR="00351800" w:rsidRPr="0071035F" w:rsidRDefault="001B6A18" w:rsidP="004D4D84">
      <w:pPr>
        <w:spacing w:after="120" w:line="360" w:lineRule="auto"/>
        <w:ind w:firstLine="720"/>
        <w:jc w:val="both"/>
      </w:pPr>
      <w:r w:rsidRPr="0071035F">
        <w:t xml:space="preserve">A </w:t>
      </w:r>
      <w:r w:rsidR="007F63B3" w:rsidRPr="0071035F">
        <w:t>number of dedicated</w:t>
      </w:r>
      <w:r w:rsidRPr="0071035F">
        <w:t xml:space="preserve"> scholarly articles offer treatments </w:t>
      </w:r>
      <w:r w:rsidR="00A83C71" w:rsidRPr="0071035F">
        <w:t>that can be incorporat</w:t>
      </w:r>
      <w:r w:rsidRPr="0071035F">
        <w:t>ed into the classroom</w:t>
      </w:r>
      <w:r w:rsidR="007459CC" w:rsidRPr="0071035F">
        <w:t xml:space="preserve"> programme</w:t>
      </w:r>
      <w:r w:rsidR="00D503C9" w:rsidRPr="0071035F">
        <w:t xml:space="preserve"> in ord</w:t>
      </w:r>
      <w:r w:rsidR="00D622EF">
        <w:t xml:space="preserve">er </w:t>
      </w:r>
      <w:r w:rsidR="00313CD8">
        <w:t>to assist students in working with</w:t>
      </w:r>
      <w:r w:rsidR="00655B23" w:rsidRPr="0071035F">
        <w:t xml:space="preserve"> Maning</w:t>
      </w:r>
      <w:r w:rsidR="00F35C21">
        <w:t>’</w:t>
      </w:r>
      <w:r w:rsidR="00D503C9" w:rsidRPr="0071035F">
        <w:t>s writing</w:t>
      </w:r>
      <w:r w:rsidR="007459CC" w:rsidRPr="0071035F">
        <w:t>.</w:t>
      </w:r>
      <w:r w:rsidRPr="0071035F">
        <w:rPr>
          <w:rStyle w:val="EndnoteReference"/>
        </w:rPr>
        <w:endnoteReference w:id="4"/>
      </w:r>
      <w:r w:rsidR="00972679">
        <w:t xml:space="preserve"> </w:t>
      </w:r>
      <w:r w:rsidR="00CC6DB7">
        <w:t>I</w:t>
      </w:r>
      <w:r w:rsidR="001B2075" w:rsidRPr="0071035F">
        <w:t>t can be extremel</w:t>
      </w:r>
      <w:r w:rsidR="00B20093" w:rsidRPr="0071035F">
        <w:t xml:space="preserve">y effective to </w:t>
      </w:r>
      <w:r w:rsidR="00755925">
        <w:t>ask students</w:t>
      </w:r>
      <w:r w:rsidR="00F35C21">
        <w:t xml:space="preserve"> to apply the “silent film”</w:t>
      </w:r>
      <w:r w:rsidR="00351800" w:rsidRPr="0071035F">
        <w:t xml:space="preserve"> treatment to </w:t>
      </w:r>
      <w:r w:rsidR="00655B23" w:rsidRPr="0071035F">
        <w:t>hi</w:t>
      </w:r>
      <w:r w:rsidR="00351800" w:rsidRPr="0071035F">
        <w:t>s work</w:t>
      </w:r>
      <w:r w:rsidR="00334D84">
        <w:t xml:space="preserve"> by</w:t>
      </w:r>
      <w:r w:rsidR="00B20093" w:rsidRPr="0071035F">
        <w:t xml:space="preserve"> producing a sequence of storyboards for a chosen incident or anecdote in order to </w:t>
      </w:r>
      <w:r w:rsidR="00684C72">
        <w:t xml:space="preserve">convey </w:t>
      </w:r>
      <w:r w:rsidR="00B20093" w:rsidRPr="0071035F">
        <w:t xml:space="preserve">the historical mood </w:t>
      </w:r>
      <w:r w:rsidR="00D503C9" w:rsidRPr="0071035F">
        <w:t xml:space="preserve">and </w:t>
      </w:r>
      <w:r w:rsidR="00684C72">
        <w:t xml:space="preserve">to draw out </w:t>
      </w:r>
      <w:r w:rsidR="00D503C9" w:rsidRPr="0071035F">
        <w:t>the humour</w:t>
      </w:r>
      <w:r w:rsidR="00351800" w:rsidRPr="0071035F">
        <w:t>.</w:t>
      </w:r>
      <w:r w:rsidR="00735D13">
        <w:rPr>
          <w:rStyle w:val="EndnoteReference"/>
        </w:rPr>
        <w:endnoteReference w:id="5"/>
      </w:r>
      <w:r w:rsidR="00B20093" w:rsidRPr="0071035F">
        <w:t xml:space="preserve"> </w:t>
      </w:r>
      <w:r w:rsidR="009466BC">
        <w:t xml:space="preserve">The </w:t>
      </w:r>
      <w:r w:rsidR="00F35C21">
        <w:t>‘</w:t>
      </w:r>
      <w:r w:rsidR="009466BC">
        <w:t>awkward scrapes</w:t>
      </w:r>
      <w:r w:rsidR="00F35C21">
        <w:t>’</w:t>
      </w:r>
      <w:r w:rsidR="009466BC">
        <w:t xml:space="preserve"> (123) of Chapter</w:t>
      </w:r>
      <w:r w:rsidR="00735D13">
        <w:t xml:space="preserve"> </w:t>
      </w:r>
      <w:r w:rsidR="009466BC">
        <w:t xml:space="preserve">IV, for instance, </w:t>
      </w:r>
      <w:r w:rsidR="00735D13">
        <w:t>work especially well in this rega</w:t>
      </w:r>
      <w:r w:rsidR="00F35C21">
        <w:t>rd, enabling students to mobiliz</w:t>
      </w:r>
      <w:r w:rsidR="00735D13">
        <w:t xml:space="preserve">e </w:t>
      </w:r>
      <w:r w:rsidR="00A60E83">
        <w:t xml:space="preserve">their knowledge </w:t>
      </w:r>
      <w:r w:rsidR="00777890">
        <w:t xml:space="preserve">of cinematic, </w:t>
      </w:r>
      <w:r w:rsidR="009466BC">
        <w:t>dramaturgic</w:t>
      </w:r>
      <w:r w:rsidR="00A60E83">
        <w:t xml:space="preserve"> </w:t>
      </w:r>
      <w:r w:rsidR="00777890">
        <w:t xml:space="preserve">and comedic </w:t>
      </w:r>
      <w:r w:rsidR="00A60E83">
        <w:t>techniques</w:t>
      </w:r>
      <w:r w:rsidR="00777890" w:rsidRPr="00777890">
        <w:t xml:space="preserve"> </w:t>
      </w:r>
      <w:r w:rsidR="00777890">
        <w:t>in order to raise questions about</w:t>
      </w:r>
      <w:r w:rsidR="009466BC">
        <w:t xml:space="preserve"> the text itself </w:t>
      </w:r>
      <w:r w:rsidR="00777890">
        <w:t xml:space="preserve">as </w:t>
      </w:r>
      <w:r w:rsidR="009466BC">
        <w:t>a</w:t>
      </w:r>
      <w:r w:rsidR="00777890">
        <w:t xml:space="preserve"> performance</w:t>
      </w:r>
      <w:r w:rsidR="009466BC">
        <w:t xml:space="preserve"> piece</w:t>
      </w:r>
      <w:r w:rsidR="00A60E83">
        <w:t>.</w:t>
      </w:r>
      <w:r w:rsidR="00735D13">
        <w:t xml:space="preserve"> </w:t>
      </w:r>
      <w:r w:rsidR="00B20093" w:rsidRPr="0071035F">
        <w:t xml:space="preserve">Another helpful strategy is to </w:t>
      </w:r>
      <w:r w:rsidR="00755925">
        <w:t xml:space="preserve">set </w:t>
      </w:r>
      <w:r w:rsidR="00B20093" w:rsidRPr="0071035F">
        <w:t>Maning</w:t>
      </w:r>
      <w:r w:rsidR="00F35C21">
        <w:t>’</w:t>
      </w:r>
      <w:r w:rsidR="007459CC" w:rsidRPr="0071035F">
        <w:t xml:space="preserve">s </w:t>
      </w:r>
      <w:r w:rsidR="007459CC" w:rsidRPr="0071035F">
        <w:rPr>
          <w:i/>
        </w:rPr>
        <w:t>Old New Zealand</w:t>
      </w:r>
      <w:r w:rsidR="00B20093" w:rsidRPr="0071035F">
        <w:t xml:space="preserve"> alongside </w:t>
      </w:r>
      <w:r w:rsidR="00C6326F">
        <w:t xml:space="preserve">missionary printer and amateur naturalist </w:t>
      </w:r>
      <w:r w:rsidR="005D5DBE" w:rsidRPr="0071035F">
        <w:t>William Colenso</w:t>
      </w:r>
      <w:r w:rsidR="00F35C21">
        <w:t>’</w:t>
      </w:r>
      <w:r w:rsidR="005D5DBE" w:rsidRPr="0071035F">
        <w:t xml:space="preserve">s </w:t>
      </w:r>
      <w:r w:rsidR="00D93AE2">
        <w:t>1865</w:t>
      </w:r>
      <w:r w:rsidR="00684C72">
        <w:t xml:space="preserve"> </w:t>
      </w:r>
      <w:r w:rsidR="005D5DBE" w:rsidRPr="0071035F">
        <w:t xml:space="preserve">essay </w:t>
      </w:r>
      <w:r w:rsidR="00F35C21">
        <w:t>“</w:t>
      </w:r>
      <w:r w:rsidR="005D5DBE" w:rsidRPr="0071035F">
        <w:t>On the Maori Races of N</w:t>
      </w:r>
      <w:r w:rsidR="001E37A4" w:rsidRPr="0071035F">
        <w:t xml:space="preserve">ew </w:t>
      </w:r>
      <w:r w:rsidR="005D5DBE" w:rsidRPr="0071035F">
        <w:t>Z</w:t>
      </w:r>
      <w:r w:rsidR="001E37A4" w:rsidRPr="0071035F">
        <w:t>ealand</w:t>
      </w:r>
      <w:r w:rsidR="00F35C21">
        <w:t xml:space="preserve">.” </w:t>
      </w:r>
      <w:r w:rsidR="000B3716">
        <w:t>Both of t</w:t>
      </w:r>
      <w:r w:rsidR="001B2075" w:rsidRPr="0071035F">
        <w:t xml:space="preserve">hese </w:t>
      </w:r>
      <w:r w:rsidR="00D7290D" w:rsidRPr="0071035F">
        <w:t>text</w:t>
      </w:r>
      <w:r w:rsidR="000B3716">
        <w:t>s</w:t>
      </w:r>
      <w:r w:rsidR="001B2075" w:rsidRPr="0071035F">
        <w:t xml:space="preserve"> operate in ethnographic mode</w:t>
      </w:r>
      <w:r w:rsidR="007F63B3" w:rsidRPr="0071035F">
        <w:t>s of sorts</w:t>
      </w:r>
      <w:r w:rsidR="001B2075" w:rsidRPr="0071035F">
        <w:t>, and they were w</w:t>
      </w:r>
      <w:r w:rsidR="00C75DC9" w:rsidRPr="0071035F">
        <w:t>ritten at the same juncture</w:t>
      </w:r>
      <w:r w:rsidR="001B2075" w:rsidRPr="0071035F">
        <w:t xml:space="preserve"> in the country</w:t>
      </w:r>
      <w:r w:rsidR="00F35C21">
        <w:t>’</w:t>
      </w:r>
      <w:r w:rsidR="001B2075" w:rsidRPr="0071035F">
        <w:t>s history, o</w:t>
      </w:r>
      <w:r w:rsidR="001E37A4" w:rsidRPr="0071035F">
        <w:t>n the eve of war in the Waikato</w:t>
      </w:r>
      <w:r w:rsidR="001B2075" w:rsidRPr="0071035F">
        <w:t xml:space="preserve"> </w:t>
      </w:r>
      <w:r w:rsidR="00073340" w:rsidRPr="0071035F">
        <w:t>and at a time of acute</w:t>
      </w:r>
      <w:r w:rsidR="001B2075" w:rsidRPr="0071035F">
        <w:t xml:space="preserve"> tribal population decline. The </w:t>
      </w:r>
      <w:r w:rsidR="00655B23" w:rsidRPr="0071035F">
        <w:t>polite, dispassionate distance</w:t>
      </w:r>
      <w:r w:rsidR="001B2075" w:rsidRPr="0071035F">
        <w:t xml:space="preserve"> of Colenso</w:t>
      </w:r>
      <w:r w:rsidR="00F35C21">
        <w:t>’</w:t>
      </w:r>
      <w:r w:rsidR="009B4AF5" w:rsidRPr="0071035F">
        <w:t>s prose</w:t>
      </w:r>
      <w:r w:rsidR="001B2075" w:rsidRPr="0071035F">
        <w:t xml:space="preserve">, </w:t>
      </w:r>
      <w:r w:rsidR="00E47C22" w:rsidRPr="0071035F">
        <w:t xml:space="preserve">however, throws </w:t>
      </w:r>
      <w:r w:rsidR="001B2075" w:rsidRPr="0071035F">
        <w:t>Maning</w:t>
      </w:r>
      <w:r w:rsidR="00F35C21">
        <w:t>’</w:t>
      </w:r>
      <w:r w:rsidR="007F6F0F" w:rsidRPr="0071035F">
        <w:t xml:space="preserve">s </w:t>
      </w:r>
      <w:r w:rsidR="000E5137">
        <w:t>discursive mode</w:t>
      </w:r>
      <w:r w:rsidR="00A83C71" w:rsidRPr="0071035F">
        <w:t xml:space="preserve"> into sharp relief</w:t>
      </w:r>
      <w:r w:rsidR="001B2075" w:rsidRPr="0071035F">
        <w:t xml:space="preserve">. </w:t>
      </w:r>
      <w:r w:rsidR="00655B23" w:rsidRPr="0071035F">
        <w:t xml:space="preserve">Deformed by tensions that surface </w:t>
      </w:r>
      <w:r w:rsidR="008F61B1" w:rsidRPr="0071035F">
        <w:t>as a result of recognition</w:t>
      </w:r>
      <w:r w:rsidR="00655B23" w:rsidRPr="0071035F">
        <w:t xml:space="preserve"> </w:t>
      </w:r>
      <w:r w:rsidR="008F61B1" w:rsidRPr="0071035F">
        <w:t xml:space="preserve">that </w:t>
      </w:r>
      <w:r w:rsidR="00D7290D" w:rsidRPr="0071035F">
        <w:t xml:space="preserve">incompatible </w:t>
      </w:r>
      <w:r w:rsidR="007F6F0F" w:rsidRPr="0071035F">
        <w:t>sensible order</w:t>
      </w:r>
      <w:r w:rsidR="00D7290D" w:rsidRPr="0071035F">
        <w:t>s</w:t>
      </w:r>
      <w:r w:rsidR="007F6F0F" w:rsidRPr="0071035F">
        <w:t xml:space="preserve"> </w:t>
      </w:r>
      <w:r w:rsidR="00D7290D" w:rsidRPr="0071035F">
        <w:t xml:space="preserve">are </w:t>
      </w:r>
      <w:r w:rsidR="007F6F0F" w:rsidRPr="0071035F">
        <w:t>at play</w:t>
      </w:r>
      <w:r w:rsidR="00073340" w:rsidRPr="0071035F">
        <w:t xml:space="preserve">, </w:t>
      </w:r>
      <w:r w:rsidR="00073340" w:rsidRPr="0071035F">
        <w:rPr>
          <w:i/>
        </w:rPr>
        <w:t>Old New Zealand</w:t>
      </w:r>
      <w:r w:rsidR="00A83C71" w:rsidRPr="0071035F">
        <w:t xml:space="preserve"> evokes conditions of proximity and entanglement</w:t>
      </w:r>
      <w:r w:rsidR="00655B23" w:rsidRPr="0071035F">
        <w:t xml:space="preserve"> </w:t>
      </w:r>
      <w:r w:rsidR="00A83C71" w:rsidRPr="0071035F">
        <w:t xml:space="preserve">in which </w:t>
      </w:r>
      <w:r w:rsidR="00655B23" w:rsidRPr="0071035F">
        <w:t xml:space="preserve">confident </w:t>
      </w:r>
      <w:r w:rsidR="008F61B1" w:rsidRPr="0071035F">
        <w:t xml:space="preserve">European </w:t>
      </w:r>
      <w:r w:rsidR="0092522B">
        <w:t>schematiz</w:t>
      </w:r>
      <w:r w:rsidR="009B4AF5" w:rsidRPr="0071035F">
        <w:t>ation</w:t>
      </w:r>
      <w:r w:rsidR="00073340" w:rsidRPr="0071035F">
        <w:t>s</w:t>
      </w:r>
      <w:r w:rsidR="009B4AF5" w:rsidRPr="0071035F">
        <w:t xml:space="preserve"> </w:t>
      </w:r>
      <w:r w:rsidR="00655B23" w:rsidRPr="0071035F">
        <w:t xml:space="preserve">and </w:t>
      </w:r>
      <w:r w:rsidR="00C75DC9" w:rsidRPr="0071035F">
        <w:t xml:space="preserve">easy </w:t>
      </w:r>
      <w:r w:rsidR="00655B23" w:rsidRPr="0071035F">
        <w:t xml:space="preserve">distinctions between fact and fiction </w:t>
      </w:r>
      <w:r w:rsidR="00073340" w:rsidRPr="0071035F">
        <w:t>come unstuck</w:t>
      </w:r>
      <w:r w:rsidR="00655B23" w:rsidRPr="0071035F">
        <w:t xml:space="preserve">. </w:t>
      </w:r>
      <w:r w:rsidR="00755925">
        <w:t>Drawi</w:t>
      </w:r>
      <w:r w:rsidR="001B2075" w:rsidRPr="0071035F">
        <w:t xml:space="preserve">ng these two </w:t>
      </w:r>
      <w:r w:rsidR="001E37A4" w:rsidRPr="0071035F">
        <w:t>texts together</w:t>
      </w:r>
      <w:r w:rsidR="001B2075" w:rsidRPr="0071035F">
        <w:t xml:space="preserve"> also offers a</w:t>
      </w:r>
      <w:r w:rsidR="004667EB">
        <w:t xml:space="preserve"> useful basis</w:t>
      </w:r>
      <w:r w:rsidR="00E47C22" w:rsidRPr="0071035F">
        <w:t xml:space="preserve"> for consider</w:t>
      </w:r>
      <w:r w:rsidR="00D941C0">
        <w:t>ation of</w:t>
      </w:r>
      <w:r w:rsidR="00351800" w:rsidRPr="0071035F">
        <w:t xml:space="preserve"> the role of public </w:t>
      </w:r>
      <w:r w:rsidR="001B2075" w:rsidRPr="0071035F">
        <w:lastRenderedPageBreak/>
        <w:t>writing</w:t>
      </w:r>
      <w:r w:rsidR="001E37A4" w:rsidRPr="0071035F">
        <w:t xml:space="preserve"> </w:t>
      </w:r>
      <w:r w:rsidR="00351800" w:rsidRPr="0071035F">
        <w:t>in</w:t>
      </w:r>
      <w:r w:rsidR="001B2075" w:rsidRPr="0071035F">
        <w:t xml:space="preserve"> settler-colonial contexts</w:t>
      </w:r>
      <w:r w:rsidR="00351800" w:rsidRPr="0071035F">
        <w:t>.</w:t>
      </w:r>
      <w:r w:rsidR="001B2075" w:rsidRPr="0071035F">
        <w:t xml:space="preserve"> Both Maning and Colenso </w:t>
      </w:r>
      <w:r w:rsidR="001C4E90" w:rsidRPr="0071035F">
        <w:t>actively work to instruct and construct</w:t>
      </w:r>
      <w:r w:rsidR="00351800" w:rsidRPr="0071035F">
        <w:t xml:space="preserve"> a </w:t>
      </w:r>
      <w:r w:rsidR="00C6326F">
        <w:t>New Zealand</w:t>
      </w:r>
      <w:r w:rsidR="001C4E90" w:rsidRPr="0071035F">
        <w:t xml:space="preserve"> </w:t>
      </w:r>
      <w:r w:rsidR="00351800" w:rsidRPr="0071035F">
        <w:t>public</w:t>
      </w:r>
      <w:r w:rsidR="001C4E90" w:rsidRPr="0071035F">
        <w:t>, and the felt urgency i</w:t>
      </w:r>
      <w:r w:rsidR="00757770" w:rsidRPr="0071035F">
        <w:t>n their writing testifies to an underlying</w:t>
      </w:r>
      <w:r w:rsidR="001C4E90" w:rsidRPr="0071035F">
        <w:t xml:space="preserve"> public pedagogical s</w:t>
      </w:r>
      <w:r w:rsidR="00073340" w:rsidRPr="0071035F">
        <w:t>tate of crisis</w:t>
      </w:r>
      <w:r w:rsidR="001C4E90" w:rsidRPr="0071035F">
        <w:t xml:space="preserve"> that </w:t>
      </w:r>
      <w:r w:rsidR="00AF1335" w:rsidRPr="0071035F">
        <w:t xml:space="preserve">remains </w:t>
      </w:r>
      <w:r w:rsidR="001C4E90" w:rsidRPr="0071035F">
        <w:t>palpable in this place</w:t>
      </w:r>
      <w:r w:rsidR="005D7E97" w:rsidRPr="0071035F">
        <w:t>.</w:t>
      </w:r>
      <w:r w:rsidR="001C4E90" w:rsidRPr="0071035F">
        <w:t xml:space="preserve"> </w:t>
      </w:r>
    </w:p>
    <w:p w14:paraId="73B35C77" w14:textId="21325BED" w:rsidR="004C63C3" w:rsidRDefault="00E405C9" w:rsidP="00F35C21">
      <w:pPr>
        <w:spacing w:after="120" w:line="360" w:lineRule="auto"/>
        <w:jc w:val="both"/>
      </w:pPr>
      <w:r>
        <w:tab/>
        <w:t>With these foundational ideas in play, it is possible to develop a teaching syllabus in a</w:t>
      </w:r>
      <w:r w:rsidR="001F5F77">
        <w:t>ny</w:t>
      </w:r>
      <w:r>
        <w:t xml:space="preserve"> number of directions. </w:t>
      </w:r>
      <w:r w:rsidR="000B3716">
        <w:t>T</w:t>
      </w:r>
      <w:r w:rsidR="004B4B7E">
        <w:t xml:space="preserve">he thread of satire, for instance, </w:t>
      </w:r>
      <w:r w:rsidR="00313CD8">
        <w:t>can be trac</w:t>
      </w:r>
      <w:r w:rsidR="000B3716">
        <w:t xml:space="preserve">ed </w:t>
      </w:r>
      <w:r w:rsidR="004B4B7E">
        <w:t xml:space="preserve">through </w:t>
      </w:r>
      <w:r>
        <w:t>Samuel Butler</w:t>
      </w:r>
      <w:r w:rsidR="00F35C21">
        <w:t>’</w:t>
      </w:r>
      <w:r>
        <w:t xml:space="preserve">s </w:t>
      </w:r>
      <w:r w:rsidR="00B8408D">
        <w:rPr>
          <w:i/>
        </w:rPr>
        <w:t>Erewhon,</w:t>
      </w:r>
      <w:r w:rsidRPr="00E405C9">
        <w:rPr>
          <w:i/>
        </w:rPr>
        <w:t xml:space="preserve"> or Over the Range</w:t>
      </w:r>
      <w:r w:rsidR="00C751F6">
        <w:t xml:space="preserve"> (1870)</w:t>
      </w:r>
      <w:r w:rsidR="004B17B2">
        <w:t xml:space="preserve">. </w:t>
      </w:r>
      <w:r w:rsidR="00E564AB">
        <w:t>D</w:t>
      </w:r>
      <w:r w:rsidR="004C63C3">
        <w:t>escribing a Darwinian</w:t>
      </w:r>
      <w:r w:rsidR="00E564AB">
        <w:t xml:space="preserve"> society</w:t>
      </w:r>
      <w:r w:rsidR="00453B9C">
        <w:t xml:space="preserve"> </w:t>
      </w:r>
      <w:r w:rsidR="00F35C21">
        <w:t>the name of which</w:t>
      </w:r>
      <w:r w:rsidR="00453B9C">
        <w:t xml:space="preserve"> is an anagram of </w:t>
      </w:r>
      <w:r w:rsidR="00F35C21">
        <w:t>“</w:t>
      </w:r>
      <w:r w:rsidR="00453B9C">
        <w:t>nowhere</w:t>
      </w:r>
      <w:r w:rsidR="00F35C21">
        <w:t>”</w:t>
      </w:r>
      <w:r w:rsidR="00453B9C">
        <w:t xml:space="preserve">, </w:t>
      </w:r>
      <w:r w:rsidR="00313CD8">
        <w:t>this</w:t>
      </w:r>
      <w:r w:rsidR="000B3716">
        <w:t xml:space="preserve"> novel </w:t>
      </w:r>
      <w:r w:rsidR="004B17B2">
        <w:t>h</w:t>
      </w:r>
      <w:r w:rsidR="000B3716">
        <w:t>olds</w:t>
      </w:r>
      <w:r w:rsidR="004C63C3">
        <w:t xml:space="preserve"> a distorting mirror up to settler</w:t>
      </w:r>
      <w:r w:rsidR="004B4B7E">
        <w:t xml:space="preserve"> culture </w:t>
      </w:r>
      <w:r w:rsidR="000B3716">
        <w:t>itself</w:t>
      </w:r>
      <w:r w:rsidR="004B4B7E">
        <w:t xml:space="preserve"> </w:t>
      </w:r>
      <w:r w:rsidR="000B3716">
        <w:t>and puts</w:t>
      </w:r>
      <w:r w:rsidR="004C63C3">
        <w:t xml:space="preserve"> European</w:t>
      </w:r>
      <w:r w:rsidR="004B17B2">
        <w:t xml:space="preserve"> institutions (the law, government, family, formal education, language </w:t>
      </w:r>
      <w:r w:rsidR="004B4B7E">
        <w:t xml:space="preserve">and writing </w:t>
      </w:r>
      <w:r w:rsidR="00F35C21">
        <w:t>itself</w:t>
      </w:r>
      <w:r w:rsidR="004B17B2">
        <w:t>)</w:t>
      </w:r>
      <w:r w:rsidR="007A6542">
        <w:t xml:space="preserve"> under the microscope</w:t>
      </w:r>
      <w:r w:rsidR="004B17B2">
        <w:t>.</w:t>
      </w:r>
      <w:r w:rsidR="00B8408D">
        <w:t xml:space="preserve"> </w:t>
      </w:r>
      <w:r w:rsidR="00033D4C">
        <w:t xml:space="preserve">With utopias and dystopias </w:t>
      </w:r>
      <w:r w:rsidR="008C72E3">
        <w:t>in view</w:t>
      </w:r>
      <w:r w:rsidR="00033D4C">
        <w:t>, i</w:t>
      </w:r>
      <w:r w:rsidR="007A6A51">
        <w:t>t i</w:t>
      </w:r>
      <w:r w:rsidR="0092522B">
        <w:t xml:space="preserve">s possible to </w:t>
      </w:r>
      <w:r w:rsidR="004B378B">
        <w:t>t</w:t>
      </w:r>
      <w:r w:rsidR="004D6AA3">
        <w:t>ask students with tracing</w:t>
      </w:r>
      <w:r w:rsidR="0031351B">
        <w:t xml:space="preserve"> the direct </w:t>
      </w:r>
      <w:r w:rsidR="007A6A51">
        <w:t xml:space="preserve">influence </w:t>
      </w:r>
      <w:r w:rsidR="0031351B">
        <w:t>of Butler</w:t>
      </w:r>
      <w:r w:rsidR="00F35C21">
        <w:t>’</w:t>
      </w:r>
      <w:r w:rsidR="0031351B">
        <w:t xml:space="preserve">s </w:t>
      </w:r>
      <w:r w:rsidR="00476357">
        <w:t>ideas</w:t>
      </w:r>
      <w:r w:rsidR="00033D4C">
        <w:t xml:space="preserve"> </w:t>
      </w:r>
      <w:r w:rsidR="007A6A51">
        <w:t>on</w:t>
      </w:r>
      <w:r w:rsidR="00476357">
        <w:t xml:space="preserve"> </w:t>
      </w:r>
      <w:r w:rsidR="00F35C21">
        <w:t>the twentieth-</w:t>
      </w:r>
      <w:r w:rsidR="007A6A51">
        <w:t xml:space="preserve">century writings of </w:t>
      </w:r>
      <w:r w:rsidR="00CC6DB7">
        <w:t>figures such as</w:t>
      </w:r>
      <w:r w:rsidR="0031351B">
        <w:t xml:space="preserve"> </w:t>
      </w:r>
      <w:r w:rsidR="007A6A51">
        <w:t xml:space="preserve">George Orwell and Gilles Deleuze. </w:t>
      </w:r>
      <w:r w:rsidR="00B8408D">
        <w:t>As Lamb has show</w:t>
      </w:r>
      <w:r w:rsidR="006934AE">
        <w:t>n, Butler</w:t>
      </w:r>
      <w:r w:rsidR="00F35C21">
        <w:t>’</w:t>
      </w:r>
      <w:r w:rsidR="00B8408D">
        <w:t xml:space="preserve">s novel can </w:t>
      </w:r>
      <w:r w:rsidR="007A6A51">
        <w:t xml:space="preserve">also </w:t>
      </w:r>
      <w:r w:rsidR="00B8408D">
        <w:t xml:space="preserve">be read in the context of </w:t>
      </w:r>
      <w:r w:rsidR="00755925">
        <w:t xml:space="preserve">contemporary </w:t>
      </w:r>
      <w:r w:rsidR="00B8408D">
        <w:t xml:space="preserve">claims to the Waitangi Tribunal, and of the persistent and contradictory </w:t>
      </w:r>
      <w:r w:rsidR="00F35C21">
        <w:t>“</w:t>
      </w:r>
      <w:r w:rsidR="00B8408D">
        <w:t>utopian and Machiavellian possibilities of this new country</w:t>
      </w:r>
      <w:r w:rsidR="00F35C21">
        <w:t>”</w:t>
      </w:r>
      <w:r w:rsidR="00B8408D">
        <w:t xml:space="preserve"> (80).</w:t>
      </w:r>
      <w:r w:rsidR="004B17B2">
        <w:t xml:space="preserve"> </w:t>
      </w:r>
      <w:r w:rsidR="00E564AB" w:rsidRPr="00E564AB">
        <w:rPr>
          <w:i/>
        </w:rPr>
        <w:t>Erewhon</w:t>
      </w:r>
      <w:r w:rsidR="001C5166">
        <w:t xml:space="preserve"> can </w:t>
      </w:r>
      <w:r w:rsidR="000A2E98">
        <w:t xml:space="preserve">also </w:t>
      </w:r>
      <w:r w:rsidR="001C5166">
        <w:t xml:space="preserve">be </w:t>
      </w:r>
      <w:r w:rsidR="00E564AB">
        <w:t xml:space="preserve">compared and contrasted </w:t>
      </w:r>
      <w:r w:rsidR="001C5166">
        <w:t>with</w:t>
      </w:r>
      <w:r w:rsidR="00A63A6F">
        <w:t xml:space="preserve"> George Cha</w:t>
      </w:r>
      <w:r w:rsidR="000E5137">
        <w:t>mier</w:t>
      </w:r>
      <w:r w:rsidR="00F35C21">
        <w:t>’</w:t>
      </w:r>
      <w:r w:rsidR="000E5137">
        <w:t>s</w:t>
      </w:r>
      <w:r w:rsidR="001C5166">
        <w:t xml:space="preserve"> </w:t>
      </w:r>
      <w:r w:rsidR="004C63C3" w:rsidRPr="004C63C3">
        <w:rPr>
          <w:i/>
        </w:rPr>
        <w:t>Philosopher Dick</w:t>
      </w:r>
      <w:r w:rsidR="00936722">
        <w:t xml:space="preserve"> (1891</w:t>
      </w:r>
      <w:r w:rsidR="00FB1CE6">
        <w:t>)</w:t>
      </w:r>
      <w:r w:rsidR="00AB2AC1">
        <w:t xml:space="preserve">, </w:t>
      </w:r>
      <w:r w:rsidR="00E564AB">
        <w:t xml:space="preserve">another </w:t>
      </w:r>
      <w:r w:rsidR="00F35C21">
        <w:t>back-</w:t>
      </w:r>
      <w:r w:rsidR="006934AE">
        <w:t xml:space="preserve">country South Island </w:t>
      </w:r>
      <w:r w:rsidR="00E564AB">
        <w:t xml:space="preserve">novel </w:t>
      </w:r>
      <w:r w:rsidR="00AB2AC1">
        <w:t>which offers a dystopian critique of settler society</w:t>
      </w:r>
      <w:r w:rsidR="00A63A6F">
        <w:t>. Cha</w:t>
      </w:r>
      <w:r w:rsidR="00FB1CE6">
        <w:t>mier</w:t>
      </w:r>
      <w:r w:rsidR="00F35C21">
        <w:t>’</w:t>
      </w:r>
      <w:r w:rsidR="00FB1CE6">
        <w:t>s writing</w:t>
      </w:r>
      <w:r w:rsidR="001C5166">
        <w:t xml:space="preserve"> </w:t>
      </w:r>
      <w:r w:rsidR="00C66CE1">
        <w:t>amplifies</w:t>
      </w:r>
      <w:r w:rsidR="001C5166">
        <w:t xml:space="preserve"> the </w:t>
      </w:r>
      <w:r w:rsidR="00F35C21">
        <w:t>“</w:t>
      </w:r>
      <w:r w:rsidR="001C5166">
        <w:t>Native Question</w:t>
      </w:r>
      <w:r w:rsidR="00F35C21">
        <w:t>”</w:t>
      </w:r>
      <w:r w:rsidR="001C5166">
        <w:t xml:space="preserve"> (that is, the question </w:t>
      </w:r>
      <w:r w:rsidR="00FB1CE6">
        <w:t>as to</w:t>
      </w:r>
      <w:r w:rsidR="00CB07E6">
        <w:t xml:space="preserve"> the place of </w:t>
      </w:r>
      <w:r w:rsidR="006934AE">
        <w:t>Mā</w:t>
      </w:r>
      <w:r w:rsidR="000E5137">
        <w:t>ori</w:t>
      </w:r>
      <w:r w:rsidR="00CB07E6">
        <w:t xml:space="preserve"> in th</w:t>
      </w:r>
      <w:r w:rsidR="0092522B">
        <w:t xml:space="preserve">e </w:t>
      </w:r>
      <w:r w:rsidR="00033D4C">
        <w:t>country</w:t>
      </w:r>
      <w:r w:rsidR="000A2E98">
        <w:t>-to-</w:t>
      </w:r>
      <w:r w:rsidR="00CB07E6">
        <w:t>come</w:t>
      </w:r>
      <w:r w:rsidR="000E5137">
        <w:t>) that</w:t>
      </w:r>
      <w:r w:rsidR="001C5166">
        <w:t xml:space="preserve"> is debated by Maning and Colenso.</w:t>
      </w:r>
      <w:r w:rsidR="000A2E98">
        <w:t xml:space="preserve"> Hi</w:t>
      </w:r>
      <w:r w:rsidR="001C5166">
        <w:t xml:space="preserve">s </w:t>
      </w:r>
      <w:r w:rsidR="008B3C63">
        <w:t xml:space="preserve">anticipation of what </w:t>
      </w:r>
      <w:r w:rsidR="008B3C63" w:rsidRPr="008B3C63">
        <w:t>Slavoj Žižek</w:t>
      </w:r>
      <w:r w:rsidR="008B3C63">
        <w:t xml:space="preserve"> has termed </w:t>
      </w:r>
      <w:r w:rsidR="00F35C21">
        <w:t>“</w:t>
      </w:r>
      <w:r w:rsidR="001C5166">
        <w:t>tarrying with the negative</w:t>
      </w:r>
      <w:r w:rsidR="00F35C21">
        <w:t xml:space="preserve">”, </w:t>
      </w:r>
      <w:r w:rsidR="008B3C63">
        <w:t>and his</w:t>
      </w:r>
      <w:r w:rsidR="001C5166">
        <w:t xml:space="preserve"> investment in the </w:t>
      </w:r>
      <w:r w:rsidR="00F35C21">
        <w:t>“</w:t>
      </w:r>
      <w:r w:rsidR="00E564AB">
        <w:t>uncanny returns</w:t>
      </w:r>
      <w:r w:rsidR="00F35C21">
        <w:t>”</w:t>
      </w:r>
      <w:r w:rsidR="00E564AB">
        <w:t xml:space="preserve"> that arise through the </w:t>
      </w:r>
      <w:r w:rsidR="00C66CE1">
        <w:t xml:space="preserve">sublimation </w:t>
      </w:r>
      <w:r w:rsidR="001C5166">
        <w:t xml:space="preserve">of </w:t>
      </w:r>
      <w:r w:rsidR="008B3C63">
        <w:t>M</w:t>
      </w:r>
      <w:r w:rsidR="006934AE">
        <w:t>ā</w:t>
      </w:r>
      <w:r w:rsidR="0092620D">
        <w:t>ori presence</w:t>
      </w:r>
      <w:r w:rsidR="008B3C63">
        <w:t xml:space="preserve"> are</w:t>
      </w:r>
      <w:r w:rsidR="00C66CE1">
        <w:t xml:space="preserve"> dis</w:t>
      </w:r>
      <w:r w:rsidR="0092522B">
        <w:t xml:space="preserve">cussed </w:t>
      </w:r>
      <w:r w:rsidR="001C5166">
        <w:t xml:space="preserve">in a 2006 essay by Sean Sturm. This essay also </w:t>
      </w:r>
      <w:r w:rsidR="004C63C3">
        <w:t xml:space="preserve">offers </w:t>
      </w:r>
      <w:r w:rsidR="001C5166">
        <w:t>diagram</w:t>
      </w:r>
      <w:r w:rsidR="004C63C3">
        <w:t>matic representations</w:t>
      </w:r>
      <w:r w:rsidR="001C5166">
        <w:t xml:space="preserve"> </w:t>
      </w:r>
      <w:r w:rsidR="000E5137">
        <w:t xml:space="preserve">of </w:t>
      </w:r>
      <w:r w:rsidR="001C5166">
        <w:t xml:space="preserve">settlement processes and ideological structures </w:t>
      </w:r>
      <w:r w:rsidR="004C63C3">
        <w:t>(</w:t>
      </w:r>
      <w:r w:rsidR="00E564AB">
        <w:t xml:space="preserve">the range of </w:t>
      </w:r>
      <w:r w:rsidR="00B27FE9">
        <w:t xml:space="preserve">relations </w:t>
      </w:r>
      <w:r w:rsidR="00E564AB">
        <w:t xml:space="preserve">posited </w:t>
      </w:r>
      <w:r w:rsidR="00B27FE9">
        <w:t xml:space="preserve">between </w:t>
      </w:r>
      <w:r w:rsidR="00F35C21">
        <w:t>“</w:t>
      </w:r>
      <w:r w:rsidR="004C63C3">
        <w:t>nature and the Natives</w:t>
      </w:r>
      <w:r w:rsidR="00F35C21">
        <w:t>”</w:t>
      </w:r>
      <w:r w:rsidR="008B3C63">
        <w:t>;</w:t>
      </w:r>
      <w:r w:rsidR="004C63C3">
        <w:t xml:space="preserve"> </w:t>
      </w:r>
      <w:r w:rsidR="008B3C63">
        <w:t>the mathematics of settler positivism;</w:t>
      </w:r>
      <w:r w:rsidR="004C63C3">
        <w:t xml:space="preserve"> </w:t>
      </w:r>
      <w:r w:rsidR="00E564AB">
        <w:t xml:space="preserve">the symbolic geography of </w:t>
      </w:r>
      <w:r w:rsidR="00F35C21">
        <w:br/>
      </w:r>
      <w:r w:rsidR="00E564AB">
        <w:t xml:space="preserve">the </w:t>
      </w:r>
      <w:r w:rsidR="00476357">
        <w:t xml:space="preserve">South Sea </w:t>
      </w:r>
      <w:r w:rsidR="00E564AB">
        <w:t>bubble</w:t>
      </w:r>
      <w:r w:rsidR="00F35C21">
        <w:t>”</w:t>
      </w:r>
      <w:r w:rsidR="004C63C3">
        <w:t>)</w:t>
      </w:r>
      <w:r w:rsidR="00E564AB">
        <w:t xml:space="preserve"> which</w:t>
      </w:r>
      <w:r w:rsidR="00F35C21">
        <w:t xml:space="preserve"> can be applied to other-</w:t>
      </w:r>
      <w:r w:rsidR="004C63C3">
        <w:t xml:space="preserve">nineteenth century </w:t>
      </w:r>
      <w:r w:rsidR="001C5166">
        <w:t>texts</w:t>
      </w:r>
      <w:r w:rsidR="008C7582">
        <w:t xml:space="preserve">, or </w:t>
      </w:r>
      <w:r w:rsidR="001C5166">
        <w:t>used as a basis fo</w:t>
      </w:r>
      <w:r w:rsidR="00CC6DB7">
        <w:t>r students to devis</w:t>
      </w:r>
      <w:r w:rsidR="004C63C3">
        <w:t xml:space="preserve">e </w:t>
      </w:r>
      <w:r w:rsidR="0092522B">
        <w:t>schematiz</w:t>
      </w:r>
      <w:r w:rsidR="001C5166">
        <w:t>ations</w:t>
      </w:r>
      <w:r w:rsidR="004C63C3">
        <w:t xml:space="preserve"> of their own</w:t>
      </w:r>
      <w:r w:rsidR="008C7582">
        <w:t>—or as a prompt for student reflection on the positing power of diagrams themselves</w:t>
      </w:r>
      <w:r w:rsidR="001C5166">
        <w:t xml:space="preserve">. </w:t>
      </w:r>
    </w:p>
    <w:p w14:paraId="42EF469A" w14:textId="103D4BB6" w:rsidR="00A15452" w:rsidRDefault="004B4B7E" w:rsidP="004D4D84">
      <w:pPr>
        <w:spacing w:after="120" w:line="360" w:lineRule="auto"/>
        <w:ind w:firstLine="720"/>
        <w:jc w:val="both"/>
      </w:pPr>
      <w:r>
        <w:t xml:space="preserve">Satire is </w:t>
      </w:r>
      <w:r w:rsidR="00E564AB">
        <w:t>tr</w:t>
      </w:r>
      <w:r w:rsidR="00546A25">
        <w:t>aceable, too, through the work</w:t>
      </w:r>
      <w:r>
        <w:t xml:space="preserve"> of </w:t>
      </w:r>
      <w:r w:rsidR="00546A25">
        <w:t xml:space="preserve">New Zealand-born poet </w:t>
      </w:r>
      <w:r w:rsidR="007A6542">
        <w:t>Jessie Mackay</w:t>
      </w:r>
      <w:r w:rsidR="00E22DC7">
        <w:t xml:space="preserve">. </w:t>
      </w:r>
      <w:r w:rsidR="00F35C21">
        <w:t>“</w:t>
      </w:r>
      <w:r w:rsidR="00E22DC7">
        <w:t>The Charge of Parihaka</w:t>
      </w:r>
      <w:r w:rsidR="00F35C21">
        <w:t>”</w:t>
      </w:r>
      <w:r w:rsidR="00E22DC7">
        <w:t xml:space="preserve">, </w:t>
      </w:r>
      <w:r w:rsidR="000E5137">
        <w:t xml:space="preserve">for example, </w:t>
      </w:r>
      <w:r w:rsidR="00E22DC7">
        <w:t xml:space="preserve">first published in </w:t>
      </w:r>
      <w:r w:rsidR="00874E88">
        <w:t>1889</w:t>
      </w:r>
      <w:r w:rsidR="00E22DC7">
        <w:t xml:space="preserve">, </w:t>
      </w:r>
      <w:r w:rsidR="00874E88">
        <w:t>reworks the</w:t>
      </w:r>
      <w:r w:rsidR="000E5137">
        <w:t xml:space="preserve"> classic</w:t>
      </w:r>
      <w:r w:rsidR="00874E88">
        <w:t xml:space="preserve"> </w:t>
      </w:r>
      <w:r w:rsidR="000E5137">
        <w:t xml:space="preserve">Tennysonian </w:t>
      </w:r>
      <w:r w:rsidR="00874E88">
        <w:t xml:space="preserve">model </w:t>
      </w:r>
      <w:r w:rsidR="000E5137">
        <w:t>in order to retell</w:t>
      </w:r>
      <w:r w:rsidR="00E22DC7">
        <w:t xml:space="preserve"> the story of </w:t>
      </w:r>
      <w:r w:rsidR="00070EEE">
        <w:t>the Imperial</w:t>
      </w:r>
      <w:r>
        <w:t xml:space="preserve"> invasion o</w:t>
      </w:r>
      <w:r w:rsidR="00D172B6">
        <w:t>f a Taranaki</w:t>
      </w:r>
      <w:r w:rsidR="004C34A4">
        <w:t xml:space="preserve"> community</w:t>
      </w:r>
      <w:r w:rsidR="00874E88">
        <w:t xml:space="preserve"> in 1881 </w:t>
      </w:r>
      <w:r w:rsidR="00E22DC7">
        <w:t xml:space="preserve">which was met with pacifist </w:t>
      </w:r>
      <w:r w:rsidR="00874E88">
        <w:t>resistance</w:t>
      </w:r>
      <w:r w:rsidR="00D172B6">
        <w:t xml:space="preserve"> by </w:t>
      </w:r>
      <w:r w:rsidR="00313CD8">
        <w:t xml:space="preserve">its </w:t>
      </w:r>
      <w:r w:rsidR="00D172B6">
        <w:t>M</w:t>
      </w:r>
      <w:r w:rsidR="00DE05B5">
        <w:t>ā</w:t>
      </w:r>
      <w:r w:rsidR="00D172B6">
        <w:t>ori inhabitants</w:t>
      </w:r>
      <w:r w:rsidR="00E22DC7">
        <w:t>. As Jane Stafford an</w:t>
      </w:r>
      <w:r w:rsidR="00936722">
        <w:t>d Mark Williams have noted</w:t>
      </w:r>
      <w:r w:rsidR="00874E88">
        <w:t xml:space="preserve"> (65)</w:t>
      </w:r>
      <w:r w:rsidR="00E22DC7">
        <w:t>, Mackay</w:t>
      </w:r>
      <w:r w:rsidR="00F35C21">
        <w:t>’</w:t>
      </w:r>
      <w:r w:rsidR="00E22DC7">
        <w:t xml:space="preserve">s verse </w:t>
      </w:r>
      <w:r w:rsidR="00E22DC7">
        <w:lastRenderedPageBreak/>
        <w:t>derives its effect from playing the occasion against the</w:t>
      </w:r>
      <w:r w:rsidR="00316380">
        <w:t xml:space="preserve"> mode</w:t>
      </w:r>
      <w:r w:rsidR="00E22DC7">
        <w:t xml:space="preserve">, exposing the limits of existing </w:t>
      </w:r>
      <w:r w:rsidR="0092620D">
        <w:t xml:space="preserve">literary </w:t>
      </w:r>
      <w:r w:rsidR="000E5137">
        <w:t xml:space="preserve">forms </w:t>
      </w:r>
      <w:r w:rsidR="00E22DC7">
        <w:t xml:space="preserve">for </w:t>
      </w:r>
      <w:r w:rsidR="00874E88">
        <w:t xml:space="preserve">making sense of events </w:t>
      </w:r>
      <w:r w:rsidR="00316380">
        <w:t>with</w:t>
      </w:r>
      <w:r w:rsidR="00874E88">
        <w:t>in a settler-colonial place</w:t>
      </w:r>
      <w:r w:rsidR="008D252C">
        <w:t>,</w:t>
      </w:r>
      <w:r w:rsidR="00874E88">
        <w:t xml:space="preserve"> </w:t>
      </w:r>
      <w:r w:rsidR="004B378B">
        <w:t>and it register</w:t>
      </w:r>
      <w:r w:rsidR="008D252C">
        <w:t>s slippages in imaginative identification (Mackay</w:t>
      </w:r>
      <w:r w:rsidR="00F35C21">
        <w:t>’</w:t>
      </w:r>
      <w:r w:rsidR="008D252C">
        <w:t xml:space="preserve">s sympathy for the victims of </w:t>
      </w:r>
      <w:r w:rsidR="000A2E98">
        <w:t xml:space="preserve">colonial </w:t>
      </w:r>
      <w:r w:rsidR="008D252C">
        <w:t>dispossession, which is a result of the radical lib</w:t>
      </w:r>
      <w:r w:rsidR="000A2E98">
        <w:t>eralism of her Scottish background</w:t>
      </w:r>
      <w:r w:rsidR="008D252C">
        <w:t xml:space="preserve">, is at odds with her own position </w:t>
      </w:r>
      <w:r w:rsidR="000A2E98">
        <w:t>in antipodean society</w:t>
      </w:r>
      <w:r w:rsidR="008D252C">
        <w:t>).</w:t>
      </w:r>
      <w:r w:rsidR="00546A25">
        <w:t xml:space="preserve"> </w:t>
      </w:r>
      <w:r w:rsidR="00874E88">
        <w:t xml:space="preserve">At the same time as they rehabilitate </w:t>
      </w:r>
      <w:r w:rsidR="00070EEE">
        <w:t xml:space="preserve">the </w:t>
      </w:r>
      <w:r w:rsidR="005F6642">
        <w:t xml:space="preserve">critical </w:t>
      </w:r>
      <w:r w:rsidR="00316380">
        <w:t>reputations</w:t>
      </w:r>
      <w:r w:rsidR="00070EEE">
        <w:t xml:space="preserve"> of </w:t>
      </w:r>
      <w:r w:rsidR="00874E88">
        <w:t>Mackay</w:t>
      </w:r>
      <w:r w:rsidR="00070EEE">
        <w:t xml:space="preserve"> and other writers of the so-called </w:t>
      </w:r>
      <w:r w:rsidR="00F35C21">
        <w:t>“Maoriland” period such as Alfred Domett—</w:t>
      </w:r>
      <w:r w:rsidR="00070EEE">
        <w:t xml:space="preserve">the author of the epic poem </w:t>
      </w:r>
      <w:r w:rsidR="00070EEE" w:rsidRPr="00070EEE">
        <w:rPr>
          <w:i/>
        </w:rPr>
        <w:t>Ranolf and Amohia</w:t>
      </w:r>
      <w:r w:rsidR="005F6642">
        <w:rPr>
          <w:i/>
        </w:rPr>
        <w:t>: A South-Sea Daydream</w:t>
      </w:r>
      <w:r w:rsidR="00316380">
        <w:t xml:space="preserve"> (1872)</w:t>
      </w:r>
      <w:r w:rsidR="00F35C21">
        <w:t>—</w:t>
      </w:r>
      <w:r w:rsidR="00874E88">
        <w:t xml:space="preserve">Stafford and Williams chart </w:t>
      </w:r>
      <w:r w:rsidR="000A2E98">
        <w:t xml:space="preserve">influential </w:t>
      </w:r>
      <w:r w:rsidR="00F35C21">
        <w:t>twentieth-</w:t>
      </w:r>
      <w:r w:rsidR="00874E88">
        <w:t>century d</w:t>
      </w:r>
      <w:r w:rsidR="00CC6DB7">
        <w:t>ebates over the value</w:t>
      </w:r>
      <w:r w:rsidR="00874E88">
        <w:t xml:space="preserve"> </w:t>
      </w:r>
      <w:r w:rsidR="00070EEE">
        <w:t xml:space="preserve">of </w:t>
      </w:r>
      <w:r w:rsidR="00874E88">
        <w:t>writings</w:t>
      </w:r>
      <w:r w:rsidR="00936722">
        <w:t xml:space="preserve"> of the </w:t>
      </w:r>
      <w:r w:rsidR="00070EEE">
        <w:t>nineteenth century</w:t>
      </w:r>
      <w:r w:rsidR="00CE3FE9">
        <w:t xml:space="preserve">. </w:t>
      </w:r>
      <w:r w:rsidR="00755925">
        <w:t xml:space="preserve">Such </w:t>
      </w:r>
      <w:r w:rsidR="00D67D64">
        <w:t>interest</w:t>
      </w:r>
      <w:r w:rsidR="006934AE">
        <w:t xml:space="preserve"> in </w:t>
      </w:r>
      <w:r w:rsidR="0092522B">
        <w:t>historiciz</w:t>
      </w:r>
      <w:r w:rsidR="00D67D64">
        <w:t xml:space="preserve">ing processes of </w:t>
      </w:r>
      <w:r w:rsidR="0092522B">
        <w:t>canon-construction</w:t>
      </w:r>
      <w:r w:rsidR="00755925">
        <w:t xml:space="preserve"> make</w:t>
      </w:r>
      <w:r w:rsidR="00D67D64">
        <w:t>s</w:t>
      </w:r>
      <w:r w:rsidR="00874E88">
        <w:t xml:space="preserve"> their book </w:t>
      </w:r>
      <w:r w:rsidR="00755925">
        <w:t xml:space="preserve">a </w:t>
      </w:r>
      <w:r w:rsidR="00874E88">
        <w:t>valuable classroom resource in its own right.</w:t>
      </w:r>
      <w:r w:rsidR="00CD556D">
        <w:t xml:space="preserve"> </w:t>
      </w:r>
    </w:p>
    <w:p w14:paraId="70746812" w14:textId="4BFE8D50" w:rsidR="00EF3A58" w:rsidRDefault="001C5166" w:rsidP="001355B5">
      <w:pPr>
        <w:spacing w:after="120" w:line="360" w:lineRule="auto"/>
        <w:jc w:val="both"/>
      </w:pPr>
      <w:r>
        <w:tab/>
        <w:t xml:space="preserve"> </w:t>
      </w:r>
      <w:r w:rsidR="001F5F77">
        <w:t>For pedagogical</w:t>
      </w:r>
      <w:r w:rsidR="007A6542">
        <w:t xml:space="preserve"> purposes,</w:t>
      </w:r>
      <w:r w:rsidR="00CD556D">
        <w:t xml:space="preserve"> one of the most </w:t>
      </w:r>
      <w:r w:rsidR="002F26C7">
        <w:t>pertinent</w:t>
      </w:r>
      <w:r w:rsidR="00F35C21">
        <w:t xml:space="preserve"> late-nineteenth-</w:t>
      </w:r>
      <w:r w:rsidR="00CD556D">
        <w:t xml:space="preserve">century texts is Lady </w:t>
      </w:r>
      <w:r w:rsidR="0051213B" w:rsidRPr="0071035F">
        <w:t>Barker</w:t>
      </w:r>
      <w:r w:rsidR="00F35C21">
        <w:t>’</w:t>
      </w:r>
      <w:r w:rsidR="00CD556D">
        <w:t xml:space="preserve">s </w:t>
      </w:r>
      <w:r w:rsidR="00CD556D" w:rsidRPr="00CD556D">
        <w:rPr>
          <w:i/>
        </w:rPr>
        <w:t>Station Life in New Zealand</w:t>
      </w:r>
      <w:r w:rsidR="00C751F6">
        <w:t xml:space="preserve"> (1870).</w:t>
      </w:r>
      <w:r w:rsidR="00CD556D">
        <w:t xml:space="preserve"> As a</w:t>
      </w:r>
      <w:r w:rsidR="00B52AAC">
        <w:t xml:space="preserve"> compilation of letters</w:t>
      </w:r>
      <w:r w:rsidR="005E3D47">
        <w:t xml:space="preserve"> sent</w:t>
      </w:r>
      <w:r w:rsidR="00CD556D">
        <w:t xml:space="preserve"> by Barker to family in England during her </w:t>
      </w:r>
      <w:r w:rsidR="00093770">
        <w:t>residence</w:t>
      </w:r>
      <w:r w:rsidR="00CD556D">
        <w:t xml:space="preserve"> on a sheep station in North Canterbury</w:t>
      </w:r>
      <w:r w:rsidR="00093770">
        <w:t xml:space="preserve"> between 1866 and 1868</w:t>
      </w:r>
      <w:r w:rsidR="00CD556D">
        <w:t>, t</w:t>
      </w:r>
      <w:r w:rsidR="00732688">
        <w:t>his</w:t>
      </w:r>
      <w:r w:rsidR="00DE05B5">
        <w:t xml:space="preserve"> text</w:t>
      </w:r>
      <w:r w:rsidR="001F5F77">
        <w:t xml:space="preserve"> highlights</w:t>
      </w:r>
      <w:r w:rsidR="00CD556D">
        <w:t xml:space="preserve"> </w:t>
      </w:r>
      <w:r w:rsidR="001102FA">
        <w:t xml:space="preserve">the </w:t>
      </w:r>
      <w:r w:rsidR="00C751F6">
        <w:t xml:space="preserve">workings of </w:t>
      </w:r>
      <w:r w:rsidR="00CD556D">
        <w:t>gender</w:t>
      </w:r>
      <w:r w:rsidR="00C751F6">
        <w:t>, class and ethnicity</w:t>
      </w:r>
      <w:r w:rsidR="00EF3A58">
        <w:t xml:space="preserve"> </w:t>
      </w:r>
      <w:r w:rsidR="00C751F6">
        <w:t xml:space="preserve">in </w:t>
      </w:r>
      <w:r w:rsidR="001102FA">
        <w:t>t</w:t>
      </w:r>
      <w:r w:rsidR="001F5F77">
        <w:t>he early writing of New Ze</w:t>
      </w:r>
      <w:r w:rsidR="00313CD8">
        <w:t>aland. It can be used to induc</w:t>
      </w:r>
      <w:r w:rsidR="006676F7">
        <w:t>e s</w:t>
      </w:r>
      <w:r w:rsidR="0059007F">
        <w:t xml:space="preserve">tudents </w:t>
      </w:r>
      <w:r w:rsidR="006676F7">
        <w:t>to reflect upon</w:t>
      </w:r>
      <w:r w:rsidR="001F5F77">
        <w:t xml:space="preserve"> </w:t>
      </w:r>
      <w:r w:rsidR="001F5F77" w:rsidRPr="005C6DF7">
        <w:rPr>
          <w:i/>
        </w:rPr>
        <w:t>w</w:t>
      </w:r>
      <w:r w:rsidR="001102FA" w:rsidRPr="005C6DF7">
        <w:rPr>
          <w:i/>
        </w:rPr>
        <w:t>ho</w:t>
      </w:r>
      <w:r w:rsidR="005C6DF7">
        <w:t xml:space="preserve"> is able</w:t>
      </w:r>
      <w:r w:rsidR="001102FA">
        <w:t xml:space="preserve"> </w:t>
      </w:r>
      <w:r w:rsidR="00F5537C">
        <w:t xml:space="preserve">to </w:t>
      </w:r>
      <w:r w:rsidR="002F53E8">
        <w:t>write a new</w:t>
      </w:r>
      <w:r w:rsidR="001102FA">
        <w:t xml:space="preserve"> place into</w:t>
      </w:r>
      <w:r w:rsidR="005245DC">
        <w:t xml:space="preserve"> being</w:t>
      </w:r>
      <w:r w:rsidR="006C4A41">
        <w:t xml:space="preserve"> (th</w:t>
      </w:r>
      <w:r w:rsidR="00765185">
        <w:t>at is, what kinds of people possess</w:t>
      </w:r>
      <w:r w:rsidR="00AD0B97">
        <w:t xml:space="preserve"> the time, schooling, resources, inclination, and real or imagined audience</w:t>
      </w:r>
      <w:r w:rsidR="00F5537C">
        <w:t xml:space="preserve"> to undertake such a task</w:t>
      </w:r>
      <w:r w:rsidR="00AD0B97">
        <w:t>)</w:t>
      </w:r>
      <w:r w:rsidR="005245DC">
        <w:t>, a</w:t>
      </w:r>
      <w:r w:rsidR="001102FA">
        <w:t>nd w</w:t>
      </w:r>
      <w:r w:rsidR="002F53E8">
        <w:t>hat modes are at their</w:t>
      </w:r>
      <w:r w:rsidR="001F5F77">
        <w:t xml:space="preserve"> disposal.</w:t>
      </w:r>
      <w:r w:rsidR="001102FA">
        <w:t xml:space="preserve"> </w:t>
      </w:r>
      <w:r w:rsidR="002F53E8">
        <w:t xml:space="preserve">Official settlement in Canterbury </w:t>
      </w:r>
      <w:r w:rsidR="006D0006">
        <w:t>wa</w:t>
      </w:r>
      <w:r w:rsidR="002F53E8">
        <w:t>s</w:t>
      </w:r>
      <w:r w:rsidR="00794958">
        <w:t xml:space="preserve"> already </w:t>
      </w:r>
      <w:r w:rsidR="002F26C7">
        <w:t xml:space="preserve">underway </w:t>
      </w:r>
      <w:r w:rsidR="002F53E8">
        <w:t>by the time Barker</w:t>
      </w:r>
      <w:r w:rsidR="006D0006">
        <w:t xml:space="preserve"> arrived</w:t>
      </w:r>
      <w:r w:rsidR="002F53E8">
        <w:t>, and w</w:t>
      </w:r>
      <w:r w:rsidR="009A3B78">
        <w:t xml:space="preserve">hile </w:t>
      </w:r>
      <w:r w:rsidR="002F53E8">
        <w:t>she</w:t>
      </w:r>
      <w:r w:rsidR="005F2E57">
        <w:t xml:space="preserve"> laments her </w:t>
      </w:r>
      <w:r w:rsidR="0059007F">
        <w:t xml:space="preserve">own </w:t>
      </w:r>
      <w:r w:rsidR="002F53E8">
        <w:t>position as a latecomer</w:t>
      </w:r>
      <w:r w:rsidR="00B52AAC">
        <w:t>, her correspondence</w:t>
      </w:r>
      <w:r w:rsidR="005F2E57">
        <w:t xml:space="preserve"> </w:t>
      </w:r>
      <w:r w:rsidR="00A10F3C">
        <w:t xml:space="preserve">nevertheless </w:t>
      </w:r>
      <w:r w:rsidR="00F5537C">
        <w:t>offer</w:t>
      </w:r>
      <w:r w:rsidR="00B52AAC">
        <w:t>s</w:t>
      </w:r>
      <w:r w:rsidR="005C6DF7">
        <w:t xml:space="preserve"> a </w:t>
      </w:r>
      <w:r w:rsidR="009A3B78">
        <w:t xml:space="preserve">thickly descriptive </w:t>
      </w:r>
      <w:r w:rsidR="005C6DF7">
        <w:t xml:space="preserve">record of </w:t>
      </w:r>
      <w:r w:rsidR="005F2E57">
        <w:t>practical and</w:t>
      </w:r>
      <w:r w:rsidR="001102FA">
        <w:t xml:space="preserve"> </w:t>
      </w:r>
      <w:r w:rsidR="005F2E57">
        <w:t xml:space="preserve">symbolic </w:t>
      </w:r>
      <w:r w:rsidR="001102FA">
        <w:t>developments</w:t>
      </w:r>
      <w:r w:rsidR="00B52AAC">
        <w:t xml:space="preserve"> in the writing of place</w:t>
      </w:r>
      <w:r w:rsidR="001102FA">
        <w:t xml:space="preserve">: </w:t>
      </w:r>
      <w:r w:rsidR="001F5F77">
        <w:t xml:space="preserve">draining swamps, </w:t>
      </w:r>
      <w:r w:rsidR="0059007F">
        <w:t xml:space="preserve">surveying </w:t>
      </w:r>
      <w:r w:rsidR="00F35C21">
        <w:t xml:space="preserve">and burning </w:t>
      </w:r>
      <w:r w:rsidR="00AD0B97">
        <w:t xml:space="preserve">off </w:t>
      </w:r>
      <w:r w:rsidR="0059007F">
        <w:t xml:space="preserve">territory, </w:t>
      </w:r>
      <w:r w:rsidR="001102FA">
        <w:t>laying roads, carving</w:t>
      </w:r>
      <w:r w:rsidR="0059007F">
        <w:t xml:space="preserve"> </w:t>
      </w:r>
      <w:r w:rsidR="001102FA">
        <w:t xml:space="preserve">out farms, </w:t>
      </w:r>
      <w:r w:rsidR="006C4A41">
        <w:t>establishing</w:t>
      </w:r>
      <w:r w:rsidR="001102FA">
        <w:t xml:space="preserve"> churches, schools, communities, </w:t>
      </w:r>
      <w:r w:rsidR="00F35C21">
        <w:t xml:space="preserve">and </w:t>
      </w:r>
      <w:r w:rsidR="001102FA">
        <w:t>libraries.</w:t>
      </w:r>
      <w:r w:rsidR="009A3B78">
        <w:t xml:space="preserve"> </w:t>
      </w:r>
      <w:r w:rsidR="00355164" w:rsidRPr="00355164">
        <w:rPr>
          <w:i/>
        </w:rPr>
        <w:t>Station Life</w:t>
      </w:r>
      <w:r w:rsidR="00F35C21">
        <w:t>’</w:t>
      </w:r>
      <w:r w:rsidR="009A3B78">
        <w:t>s surface plotline of picnics</w:t>
      </w:r>
      <w:r w:rsidR="00093770">
        <w:t xml:space="preserve"> and</w:t>
      </w:r>
      <w:r w:rsidR="009A1B37">
        <w:t xml:space="preserve"> partie</w:t>
      </w:r>
      <w:r w:rsidR="0059007F">
        <w:t xml:space="preserve">s suggests an atmosphere of </w:t>
      </w:r>
      <w:r w:rsidR="00093770">
        <w:t>comfortable</w:t>
      </w:r>
      <w:r w:rsidR="006C4A41">
        <w:t xml:space="preserve"> </w:t>
      </w:r>
      <w:r w:rsidR="0059007F">
        <w:t>conviviality</w:t>
      </w:r>
      <w:r w:rsidR="009A3B78">
        <w:t>.</w:t>
      </w:r>
      <w:r w:rsidR="00355164">
        <w:t xml:space="preserve"> Barker</w:t>
      </w:r>
      <w:r w:rsidR="00F35C21">
        <w:t>’</w:t>
      </w:r>
      <w:r w:rsidR="00355164">
        <w:t>s book</w:t>
      </w:r>
      <w:r w:rsidR="009A3B78">
        <w:t>, however,</w:t>
      </w:r>
      <w:r w:rsidR="00093770">
        <w:t xml:space="preserve"> is by no means</w:t>
      </w:r>
      <w:r w:rsidR="001102FA">
        <w:t xml:space="preserve"> a story of </w:t>
      </w:r>
      <w:r w:rsidR="009A1B37">
        <w:t>easy</w:t>
      </w:r>
      <w:r w:rsidR="00835C9D">
        <w:t xml:space="preserve"> </w:t>
      </w:r>
      <w:r w:rsidR="005245DC">
        <w:t>progress</w:t>
      </w:r>
      <w:r w:rsidR="00355164">
        <w:t>, and it i</w:t>
      </w:r>
      <w:r w:rsidR="001355B5">
        <w:t>s no</w:t>
      </w:r>
      <w:r w:rsidR="00355164">
        <w:t>t just that it</w:t>
      </w:r>
      <w:r w:rsidR="005E3D47">
        <w:t>s tone frequently verges on self-deprecating parody of settler hardihood (Calder</w:t>
      </w:r>
      <w:r w:rsidR="001355B5">
        <w:t xml:space="preserve">, </w:t>
      </w:r>
      <w:r w:rsidR="001355B5" w:rsidRPr="001355B5">
        <w:rPr>
          <w:i/>
          <w:iCs/>
        </w:rPr>
        <w:t>The Settler’s Plot</w:t>
      </w:r>
      <w:r w:rsidR="005E3D47" w:rsidRPr="001355B5">
        <w:rPr>
          <w:i/>
          <w:iCs/>
        </w:rPr>
        <w:t xml:space="preserve"> </w:t>
      </w:r>
      <w:r w:rsidR="005E3D47">
        <w:t>6)</w:t>
      </w:r>
      <w:r w:rsidR="005245DC">
        <w:t xml:space="preserve">. </w:t>
      </w:r>
      <w:r w:rsidR="00C751F6">
        <w:t>The n</w:t>
      </w:r>
      <w:r w:rsidR="005245DC">
        <w:t>or</w:t>
      </w:r>
      <w:r w:rsidR="00F35C21">
        <w:t>’</w:t>
      </w:r>
      <w:r w:rsidR="006944EB">
        <w:t>-</w:t>
      </w:r>
      <w:r w:rsidR="005245DC">
        <w:t xml:space="preserve">west wind </w:t>
      </w:r>
      <w:r w:rsidR="005F2E57">
        <w:t>howls through</w:t>
      </w:r>
      <w:r w:rsidR="00835C9D">
        <w:t xml:space="preserve"> much of the</w:t>
      </w:r>
      <w:r w:rsidR="00355164">
        <w:t xml:space="preserve"> narrative</w:t>
      </w:r>
      <w:r w:rsidR="005245DC">
        <w:t>, carrying wit</w:t>
      </w:r>
      <w:r w:rsidR="005C6DF7">
        <w:t>h it the distinct possibility that</w:t>
      </w:r>
      <w:r w:rsidR="005245DC">
        <w:t xml:space="preserve"> </w:t>
      </w:r>
      <w:r w:rsidR="00EF3A58">
        <w:t xml:space="preserve">settlers </w:t>
      </w:r>
      <w:r w:rsidR="005C6DF7">
        <w:t>and their belongings will be</w:t>
      </w:r>
      <w:r w:rsidR="00835C9D">
        <w:t xml:space="preserve"> dislodged</w:t>
      </w:r>
      <w:r w:rsidR="002F53E8">
        <w:t>, and r</w:t>
      </w:r>
      <w:r w:rsidR="005E3D47">
        <w:t xml:space="preserve">eal </w:t>
      </w:r>
      <w:r w:rsidR="001102FA">
        <w:t>misfortunes</w:t>
      </w:r>
      <w:r w:rsidR="005C6DF7">
        <w:t xml:space="preserve"> </w:t>
      </w:r>
      <w:r w:rsidR="00F5537C">
        <w:t>and privations</w:t>
      </w:r>
      <w:r w:rsidR="002F53E8">
        <w:t xml:space="preserve"> </w:t>
      </w:r>
      <w:r w:rsidR="005C6DF7">
        <w:t>abound.</w:t>
      </w:r>
      <w:r w:rsidR="005245DC">
        <w:t xml:space="preserve"> </w:t>
      </w:r>
      <w:r w:rsidR="009A3B78">
        <w:t>Barker</w:t>
      </w:r>
      <w:r w:rsidR="00F35C21">
        <w:t>’</w:t>
      </w:r>
      <w:r w:rsidR="009A3B78">
        <w:t>s infant son dies; she</w:t>
      </w:r>
      <w:r w:rsidR="001102FA">
        <w:t xml:space="preserve"> and her husband lose half their flock to a snowstorm and face starvation and hypothermia themselves; </w:t>
      </w:r>
      <w:r w:rsidR="005245DC">
        <w:t>Barker is thrown from her h</w:t>
      </w:r>
      <w:r w:rsidR="00C751F6">
        <w:t>orse and</w:t>
      </w:r>
      <w:r w:rsidR="00313CD8">
        <w:t xml:space="preserve"> must</w:t>
      </w:r>
      <w:r w:rsidR="00093770">
        <w:t xml:space="preserve"> re-set </w:t>
      </w:r>
      <w:r w:rsidR="00093770">
        <w:lastRenderedPageBreak/>
        <w:t>her own broken shoulder</w:t>
      </w:r>
      <w:r w:rsidR="005F2E57">
        <w:t xml:space="preserve">; she and </w:t>
      </w:r>
      <w:r w:rsidR="00F92E74">
        <w:t>her husband</w:t>
      </w:r>
      <w:r w:rsidR="005245DC">
        <w:t xml:space="preserve"> eventually </w:t>
      </w:r>
      <w:r w:rsidR="005F2E57">
        <w:t xml:space="preserve">concede defeat </w:t>
      </w:r>
      <w:r w:rsidR="005245DC">
        <w:t>and return to England</w:t>
      </w:r>
      <w:r w:rsidR="000A2E98">
        <w:t xml:space="preserve"> (shifts</w:t>
      </w:r>
      <w:r w:rsidR="006C4A41">
        <w:t xml:space="preserve"> in </w:t>
      </w:r>
      <w:r w:rsidR="005E3D47">
        <w:t>Barker</w:t>
      </w:r>
      <w:r w:rsidR="00F35C21">
        <w:t>’</w:t>
      </w:r>
      <w:r w:rsidR="005E3D47">
        <w:t>s</w:t>
      </w:r>
      <w:r w:rsidR="009A3B78">
        <w:t xml:space="preserve"> </w:t>
      </w:r>
      <w:r w:rsidR="006C4A41">
        <w:t xml:space="preserve">use of the term </w:t>
      </w:r>
      <w:r w:rsidR="001355B5">
        <w:t>“</w:t>
      </w:r>
      <w:r w:rsidR="006C4A41">
        <w:t>home</w:t>
      </w:r>
      <w:r w:rsidR="001355B5">
        <w:t>”</w:t>
      </w:r>
      <w:r w:rsidR="006C4A41">
        <w:t xml:space="preserve"> are revealing). </w:t>
      </w:r>
      <w:r w:rsidR="001F5F77">
        <w:t>Settlement is supposed to be har</w:t>
      </w:r>
      <w:r w:rsidR="005F2E57">
        <w:t>d work, but it is rarely document</w:t>
      </w:r>
      <w:r w:rsidR="00967842">
        <w:t xml:space="preserve">ed as being unachievable on a personal (which is also to say metonymic) scale—as </w:t>
      </w:r>
      <w:r w:rsidR="005E3D47">
        <w:t>a tale</w:t>
      </w:r>
      <w:r w:rsidR="006944EB">
        <w:t xml:space="preserve"> of </w:t>
      </w:r>
      <w:r w:rsidR="009A3B78">
        <w:t>affliction</w:t>
      </w:r>
      <w:r w:rsidR="005245DC">
        <w:t xml:space="preserve"> </w:t>
      </w:r>
      <w:r w:rsidR="00A10F3C">
        <w:t>and</w:t>
      </w:r>
      <w:r w:rsidR="00C751F6">
        <w:t xml:space="preserve"> blight</w:t>
      </w:r>
      <w:r w:rsidR="00F92E74">
        <w:t>. I</w:t>
      </w:r>
      <w:r w:rsidR="00967842">
        <w:t>n</w:t>
      </w:r>
      <w:r w:rsidR="00EF3A58">
        <w:t xml:space="preserve"> light of the 2010-11 Christchurch earthquakes, which levelled much of New Zealand</w:t>
      </w:r>
      <w:r w:rsidR="00F35C21">
        <w:t>’</w:t>
      </w:r>
      <w:r w:rsidR="001355B5">
        <w:t>s second-</w:t>
      </w:r>
      <w:r w:rsidR="005F2E57">
        <w:t xml:space="preserve">largest </w:t>
      </w:r>
      <w:r w:rsidR="00EF3A58">
        <w:t>city</w:t>
      </w:r>
      <w:r w:rsidR="002F53E8">
        <w:t xml:space="preserve"> and shook the </w:t>
      </w:r>
      <w:r w:rsidR="005F2E57">
        <w:t xml:space="preserve">surrounding </w:t>
      </w:r>
      <w:r w:rsidR="002F53E8">
        <w:t xml:space="preserve">Canterbury </w:t>
      </w:r>
      <w:r w:rsidR="00C751F6">
        <w:t>region</w:t>
      </w:r>
      <w:r w:rsidR="00EF3A58">
        <w:t>,</w:t>
      </w:r>
      <w:r w:rsidR="00F92E74">
        <w:t xml:space="preserve"> the book</w:t>
      </w:r>
      <w:r w:rsidR="00F35C21">
        <w:t>’</w:t>
      </w:r>
      <w:r w:rsidR="00F92E74">
        <w:t>s</w:t>
      </w:r>
      <w:r w:rsidR="005245DC">
        <w:t xml:space="preserve"> locus makes it particularly </w:t>
      </w:r>
      <w:r w:rsidR="005F2E57">
        <w:t xml:space="preserve">valuable </w:t>
      </w:r>
      <w:r w:rsidR="006676F7">
        <w:t xml:space="preserve">as a </w:t>
      </w:r>
      <w:r w:rsidR="00313CD8">
        <w:t xml:space="preserve">settler </w:t>
      </w:r>
      <w:r w:rsidR="006676F7">
        <w:t xml:space="preserve">commentary on the </w:t>
      </w:r>
      <w:r w:rsidR="00794958">
        <w:t xml:space="preserve">question of the </w:t>
      </w:r>
      <w:r w:rsidR="006676F7">
        <w:t>sustainability</w:t>
      </w:r>
      <w:r w:rsidR="00B43ABE">
        <w:t>—</w:t>
      </w:r>
      <w:r w:rsidR="00794958">
        <w:t xml:space="preserve">or, </w:t>
      </w:r>
      <w:r w:rsidR="006676F7">
        <w:t>indeed,</w:t>
      </w:r>
      <w:r w:rsidR="00EF3A58">
        <w:t xml:space="preserve"> survivability</w:t>
      </w:r>
      <w:r w:rsidR="00B43ABE">
        <w:t>—</w:t>
      </w:r>
      <w:r w:rsidR="00EF3A58">
        <w:t>of</w:t>
      </w:r>
      <w:r w:rsidR="00B43ABE">
        <w:t xml:space="preserve"> </w:t>
      </w:r>
      <w:r w:rsidR="00EF3A58">
        <w:t>settlement</w:t>
      </w:r>
      <w:r w:rsidR="005245DC">
        <w:t xml:space="preserve">. </w:t>
      </w:r>
    </w:p>
    <w:p w14:paraId="1606D8E9" w14:textId="054D5E28" w:rsidR="00E103F5" w:rsidRPr="0071035F" w:rsidRDefault="00F33414" w:rsidP="00A94D87">
      <w:pPr>
        <w:spacing w:after="120" w:line="360" w:lineRule="auto"/>
        <w:ind w:firstLine="720"/>
        <w:jc w:val="both"/>
      </w:pPr>
      <w:r>
        <w:t>T</w:t>
      </w:r>
      <w:r w:rsidR="009B4AF5" w:rsidRPr="0071035F">
        <w:t xml:space="preserve">he </w:t>
      </w:r>
      <w:r>
        <w:t xml:space="preserve">ongoing </w:t>
      </w:r>
      <w:r w:rsidR="009B4AF5" w:rsidRPr="0071035F">
        <w:t>c</w:t>
      </w:r>
      <w:r w:rsidR="005D7E97" w:rsidRPr="0071035F">
        <w:t xml:space="preserve">urrency of </w:t>
      </w:r>
      <w:r w:rsidR="001F1DEF" w:rsidRPr="0071035F">
        <w:t xml:space="preserve">the </w:t>
      </w:r>
      <w:r w:rsidR="009B4AF5" w:rsidRPr="0071035F">
        <w:t>concerns manifest</w:t>
      </w:r>
      <w:r w:rsidR="00C47AE4">
        <w:t xml:space="preserve"> in early New Zealand writing</w:t>
      </w:r>
      <w:r w:rsidR="00E405C9">
        <w:t>,</w:t>
      </w:r>
      <w:r w:rsidR="00C47AE4">
        <w:t xml:space="preserve"> </w:t>
      </w:r>
      <w:r w:rsidR="00F565CE">
        <w:t xml:space="preserve">which is </w:t>
      </w:r>
      <w:r w:rsidR="009B4AF5" w:rsidRPr="0071035F">
        <w:t>attest</w:t>
      </w:r>
      <w:r w:rsidR="005D7E97" w:rsidRPr="0071035F">
        <w:t>ed</w:t>
      </w:r>
      <w:r w:rsidR="009B4AF5" w:rsidRPr="0071035F">
        <w:t xml:space="preserve"> </w:t>
      </w:r>
      <w:r w:rsidR="00C06173" w:rsidRPr="0071035F">
        <w:t xml:space="preserve">by </w:t>
      </w:r>
      <w:r w:rsidR="00F92E74">
        <w:t>the wealth of</w:t>
      </w:r>
      <w:r w:rsidR="00AC7545" w:rsidRPr="0071035F">
        <w:t xml:space="preserve"> </w:t>
      </w:r>
      <w:r w:rsidR="005D7E97" w:rsidRPr="0071035F">
        <w:t>r</w:t>
      </w:r>
      <w:r w:rsidR="001F1DEF" w:rsidRPr="0071035F">
        <w:t xml:space="preserve">ecent </w:t>
      </w:r>
      <w:r w:rsidR="00274A72" w:rsidRPr="0071035F">
        <w:t xml:space="preserve">scholarly </w:t>
      </w:r>
      <w:r w:rsidR="001F1DEF" w:rsidRPr="0071035F">
        <w:t>publications</w:t>
      </w:r>
      <w:r w:rsidR="00755925">
        <w:t xml:space="preserve"> dealing with</w:t>
      </w:r>
      <w:r w:rsidR="00CE3FE9">
        <w:t xml:space="preserve"> this period</w:t>
      </w:r>
      <w:r w:rsidR="00E405C9">
        <w:t>,</w:t>
      </w:r>
      <w:r>
        <w:t xml:space="preserve"> </w:t>
      </w:r>
      <w:r w:rsidR="00F05BC7" w:rsidRPr="0071035F">
        <w:t>is evident in</w:t>
      </w:r>
      <w:r w:rsidR="00E405C9">
        <w:t xml:space="preserve"> other cultural formations</w:t>
      </w:r>
      <w:r w:rsidR="00D64FA6" w:rsidRPr="0071035F">
        <w:t xml:space="preserve"> too.</w:t>
      </w:r>
      <w:r w:rsidR="00F05BC7" w:rsidRPr="0071035F">
        <w:t xml:space="preserve"> </w:t>
      </w:r>
      <w:r w:rsidR="00D64FA6" w:rsidRPr="0071035F">
        <w:t>I</w:t>
      </w:r>
      <w:r w:rsidR="009B4AF5" w:rsidRPr="0071035F">
        <w:t>t is p</w:t>
      </w:r>
      <w:r w:rsidR="005D7E97" w:rsidRPr="0071035F">
        <w:t>ossible</w:t>
      </w:r>
      <w:r w:rsidR="00F05BC7" w:rsidRPr="0071035F">
        <w:t>, for instance</w:t>
      </w:r>
      <w:r w:rsidR="00BD3925" w:rsidRPr="0071035F">
        <w:t>,</w:t>
      </w:r>
      <w:r w:rsidR="00313CD8">
        <w:t xml:space="preserve"> to track</w:t>
      </w:r>
      <w:r w:rsidR="005D7E97" w:rsidRPr="0071035F">
        <w:t xml:space="preserve"> </w:t>
      </w:r>
      <w:r w:rsidR="009B4AF5" w:rsidRPr="0071035F">
        <w:t>nineteenth</w:t>
      </w:r>
      <w:r w:rsidR="005D7E97" w:rsidRPr="0071035F">
        <w:t xml:space="preserve"> century N</w:t>
      </w:r>
      <w:r w:rsidR="009B4AF5" w:rsidRPr="0071035F">
        <w:t xml:space="preserve">ew </w:t>
      </w:r>
      <w:r w:rsidR="005D7E97" w:rsidRPr="0071035F">
        <w:t>Z</w:t>
      </w:r>
      <w:r w:rsidR="009B4AF5" w:rsidRPr="0071035F">
        <w:t>ealand</w:t>
      </w:r>
      <w:r w:rsidR="005D7E97" w:rsidRPr="0071035F">
        <w:t xml:space="preserve"> through </w:t>
      </w:r>
      <w:r w:rsidR="00A94D87">
        <w:t xml:space="preserve">the </w:t>
      </w:r>
      <w:r w:rsidR="005D7E97" w:rsidRPr="0071035F">
        <w:t xml:space="preserve">literature and film of the </w:t>
      </w:r>
      <w:r w:rsidR="009B4AF5" w:rsidRPr="0071035F">
        <w:t xml:space="preserve">twentieth </w:t>
      </w:r>
      <w:r w:rsidR="004C34A4">
        <w:t>and twenty-first centuries</w:t>
      </w:r>
      <w:r w:rsidR="009B4AF5" w:rsidRPr="0071035F">
        <w:t>. Such an itinerary might take in Jane Mander</w:t>
      </w:r>
      <w:r w:rsidR="00F35C21">
        <w:t>’</w:t>
      </w:r>
      <w:r w:rsidR="009B4AF5" w:rsidRPr="0071035F">
        <w:t xml:space="preserve">s </w:t>
      </w:r>
      <w:r w:rsidR="007E37DB">
        <w:rPr>
          <w:i/>
        </w:rPr>
        <w:t>The Story</w:t>
      </w:r>
      <w:r w:rsidR="005D7E97" w:rsidRPr="0071035F">
        <w:rPr>
          <w:i/>
        </w:rPr>
        <w:t xml:space="preserve"> of a N</w:t>
      </w:r>
      <w:r w:rsidR="009B4AF5" w:rsidRPr="0071035F">
        <w:rPr>
          <w:i/>
        </w:rPr>
        <w:t xml:space="preserve">ew </w:t>
      </w:r>
      <w:r w:rsidR="005D7E97" w:rsidRPr="0071035F">
        <w:rPr>
          <w:i/>
        </w:rPr>
        <w:t>Z</w:t>
      </w:r>
      <w:r w:rsidR="009B4AF5" w:rsidRPr="0071035F">
        <w:rPr>
          <w:i/>
        </w:rPr>
        <w:t>ealand</w:t>
      </w:r>
      <w:r w:rsidR="005D7E97" w:rsidRPr="0071035F">
        <w:rPr>
          <w:i/>
        </w:rPr>
        <w:t xml:space="preserve"> River</w:t>
      </w:r>
      <w:r w:rsidR="007E37DB">
        <w:t xml:space="preserve"> (1920),</w:t>
      </w:r>
      <w:r w:rsidR="005D7E97" w:rsidRPr="0071035F">
        <w:t xml:space="preserve"> </w:t>
      </w:r>
      <w:r w:rsidR="009B4AF5" w:rsidRPr="0071035F">
        <w:t>Ian Wedde</w:t>
      </w:r>
      <w:r w:rsidR="00F35C21">
        <w:t>’</w:t>
      </w:r>
      <w:r w:rsidR="009B4AF5" w:rsidRPr="0071035F">
        <w:t xml:space="preserve">s </w:t>
      </w:r>
      <w:r w:rsidR="005D7E97" w:rsidRPr="0071035F">
        <w:rPr>
          <w:i/>
        </w:rPr>
        <w:t>Symmes Hole</w:t>
      </w:r>
      <w:r w:rsidR="007E37DB">
        <w:t xml:space="preserve"> (1986),</w:t>
      </w:r>
      <w:r w:rsidR="00820F91" w:rsidRPr="0071035F">
        <w:t xml:space="preserve"> </w:t>
      </w:r>
      <w:r w:rsidR="007E37DB" w:rsidRPr="0071035F">
        <w:t>Maurice Shadbolt</w:t>
      </w:r>
      <w:r w:rsidR="00F35C21">
        <w:t>’</w:t>
      </w:r>
      <w:r w:rsidR="007E37DB" w:rsidRPr="0071035F">
        <w:t xml:space="preserve">s </w:t>
      </w:r>
      <w:r w:rsidR="007E37DB" w:rsidRPr="0071035F">
        <w:rPr>
          <w:i/>
        </w:rPr>
        <w:t>Season of the Jew</w:t>
      </w:r>
      <w:r w:rsidR="007E37DB">
        <w:t xml:space="preserve"> trilogy (1987-93)</w:t>
      </w:r>
      <w:r w:rsidR="004F6C5D">
        <w:t xml:space="preserve">, </w:t>
      </w:r>
      <w:r w:rsidR="009B4AF5" w:rsidRPr="0071035F">
        <w:t>C. K. Stead</w:t>
      </w:r>
      <w:r w:rsidR="00F35C21">
        <w:t>’</w:t>
      </w:r>
      <w:r w:rsidR="009B4AF5" w:rsidRPr="0071035F">
        <w:t xml:space="preserve">s </w:t>
      </w:r>
      <w:r w:rsidR="005D7E97" w:rsidRPr="0071035F">
        <w:rPr>
          <w:i/>
        </w:rPr>
        <w:t>The Singing W</w:t>
      </w:r>
      <w:r w:rsidR="00FB2A2C" w:rsidRPr="0071035F">
        <w:rPr>
          <w:i/>
        </w:rPr>
        <w:t>hakapapa</w:t>
      </w:r>
      <w:r w:rsidR="00820F91" w:rsidRPr="0071035F">
        <w:t xml:space="preserve"> </w:t>
      </w:r>
      <w:r w:rsidR="007E37DB">
        <w:t>(1994)</w:t>
      </w:r>
      <w:r w:rsidR="004F6C5D">
        <w:t xml:space="preserve"> and Eleanor Catton</w:t>
      </w:r>
      <w:r w:rsidR="00F35C21">
        <w:t>’</w:t>
      </w:r>
      <w:r w:rsidR="004F6C5D">
        <w:t xml:space="preserve">s </w:t>
      </w:r>
      <w:r w:rsidR="004F6C5D" w:rsidRPr="004F6C5D">
        <w:rPr>
          <w:i/>
        </w:rPr>
        <w:t>The Luminaries</w:t>
      </w:r>
      <w:r w:rsidR="004F6C5D">
        <w:t xml:space="preserve"> (2013)</w:t>
      </w:r>
      <w:r w:rsidR="007E37DB">
        <w:t xml:space="preserve">, </w:t>
      </w:r>
      <w:r w:rsidR="00E16DE0" w:rsidRPr="0071035F">
        <w:t>as well as films such as</w:t>
      </w:r>
      <w:r w:rsidR="004C25D2" w:rsidRPr="0071035F">
        <w:t xml:space="preserve"> </w:t>
      </w:r>
      <w:r w:rsidR="006F6AF6" w:rsidRPr="0071035F">
        <w:t>Geoff Murphy</w:t>
      </w:r>
      <w:r w:rsidR="00F35C21">
        <w:t>’</w:t>
      </w:r>
      <w:r w:rsidR="006F6AF6" w:rsidRPr="0071035F">
        <w:t xml:space="preserve">s </w:t>
      </w:r>
      <w:r w:rsidR="006F6AF6" w:rsidRPr="0071035F">
        <w:rPr>
          <w:i/>
        </w:rPr>
        <w:t>Utu</w:t>
      </w:r>
      <w:r w:rsidR="006F6AF6" w:rsidRPr="0071035F">
        <w:t xml:space="preserve"> </w:t>
      </w:r>
      <w:r w:rsidR="006F6AF6">
        <w:t xml:space="preserve">(1983), </w:t>
      </w:r>
      <w:r w:rsidR="004C25D2" w:rsidRPr="0071035F">
        <w:t>Jane Campion</w:t>
      </w:r>
      <w:r w:rsidR="00F35C21">
        <w:t>’</w:t>
      </w:r>
      <w:r w:rsidR="004C25D2" w:rsidRPr="0071035F">
        <w:t>s</w:t>
      </w:r>
      <w:r w:rsidR="009B4AF5" w:rsidRPr="0071035F">
        <w:t xml:space="preserve"> </w:t>
      </w:r>
      <w:r w:rsidR="00FB2A2C" w:rsidRPr="0071035F">
        <w:rPr>
          <w:i/>
        </w:rPr>
        <w:t>The Piano</w:t>
      </w:r>
      <w:r w:rsidR="007E37DB">
        <w:t xml:space="preserve"> (199</w:t>
      </w:r>
      <w:r w:rsidR="006F6AF6">
        <w:t>3</w:t>
      </w:r>
      <w:r w:rsidR="007E37DB">
        <w:t>)</w:t>
      </w:r>
      <w:r w:rsidR="004C25D2" w:rsidRPr="0071035F">
        <w:t xml:space="preserve"> </w:t>
      </w:r>
      <w:r w:rsidR="009B4AF5" w:rsidRPr="0071035F">
        <w:t>and</w:t>
      </w:r>
      <w:r w:rsidR="004C25D2" w:rsidRPr="0071035F">
        <w:t xml:space="preserve"> Vincent Ward</w:t>
      </w:r>
      <w:r w:rsidR="00F35C21">
        <w:t>’</w:t>
      </w:r>
      <w:r w:rsidR="004C25D2" w:rsidRPr="0071035F">
        <w:t>s</w:t>
      </w:r>
      <w:r w:rsidR="009B4AF5" w:rsidRPr="0071035F">
        <w:t xml:space="preserve"> </w:t>
      </w:r>
      <w:r w:rsidR="009B4AF5" w:rsidRPr="0071035F">
        <w:rPr>
          <w:i/>
        </w:rPr>
        <w:t>River Queen</w:t>
      </w:r>
      <w:r w:rsidR="006F6AF6">
        <w:t xml:space="preserve"> (2005</w:t>
      </w:r>
      <w:r w:rsidR="007E37DB">
        <w:t>).</w:t>
      </w:r>
      <w:r w:rsidR="00B524E8">
        <w:t xml:space="preserve"> T</w:t>
      </w:r>
      <w:r w:rsidR="009B4AF5" w:rsidRPr="0071035F">
        <w:t xml:space="preserve">his </w:t>
      </w:r>
      <w:r w:rsidR="00D64FA6" w:rsidRPr="0071035F">
        <w:t>terrain</w:t>
      </w:r>
      <w:r w:rsidR="00F05BC7" w:rsidRPr="0071035F">
        <w:t xml:space="preserve"> is supported by </w:t>
      </w:r>
      <w:r w:rsidR="00EB49A1">
        <w:t xml:space="preserve">some </w:t>
      </w:r>
      <w:r w:rsidR="006676F7">
        <w:t>strong</w:t>
      </w:r>
      <w:r w:rsidR="00F05BC7" w:rsidRPr="0071035F">
        <w:t xml:space="preserve"> </w:t>
      </w:r>
      <w:r w:rsidR="007E7BEB" w:rsidRPr="0071035F">
        <w:t xml:space="preserve">secondary </w:t>
      </w:r>
      <w:r w:rsidR="00F05BC7" w:rsidRPr="0071035F">
        <w:t>resources</w:t>
      </w:r>
      <w:r w:rsidR="007E7BEB" w:rsidRPr="0071035F">
        <w:t>,</w:t>
      </w:r>
      <w:r w:rsidR="00D622EF">
        <w:t xml:space="preserve"> including</w:t>
      </w:r>
      <w:r w:rsidR="00F05BC7" w:rsidRPr="0071035F">
        <w:t xml:space="preserve"> Linda Hardy</w:t>
      </w:r>
      <w:r w:rsidR="00F35C21">
        <w:t>’</w:t>
      </w:r>
      <w:r w:rsidR="00F05BC7" w:rsidRPr="0071035F">
        <w:t xml:space="preserve">s </w:t>
      </w:r>
      <w:r w:rsidR="00DE05B5">
        <w:t xml:space="preserve">essay </w:t>
      </w:r>
      <w:r w:rsidR="00A94D87">
        <w:t>“</w:t>
      </w:r>
      <w:r w:rsidR="00F05BC7" w:rsidRPr="0071035F">
        <w:t>Natural Occupancy</w:t>
      </w:r>
      <w:r w:rsidR="00A94D87">
        <w:t>”</w:t>
      </w:r>
      <w:r w:rsidR="002F53E8">
        <w:t xml:space="preserve"> (1995)</w:t>
      </w:r>
      <w:r w:rsidR="00F05BC7" w:rsidRPr="0071035F">
        <w:t xml:space="preserve">, </w:t>
      </w:r>
      <w:r w:rsidR="002F53E8">
        <w:t>and Stephen Turner</w:t>
      </w:r>
      <w:r w:rsidR="00F35C21">
        <w:t>’</w:t>
      </w:r>
      <w:r w:rsidR="002F53E8">
        <w:t>s</w:t>
      </w:r>
      <w:r w:rsidR="004667EB">
        <w:t xml:space="preserve"> </w:t>
      </w:r>
      <w:r w:rsidR="00A94D87">
        <w:t>“</w:t>
      </w:r>
      <w:r w:rsidR="004667EB">
        <w:t>Being Colonial/Colonial Being</w:t>
      </w:r>
      <w:r w:rsidR="00A94D87">
        <w:t>”</w:t>
      </w:r>
      <w:r w:rsidR="002F53E8">
        <w:t xml:space="preserve"> (2002)</w:t>
      </w:r>
      <w:r w:rsidR="00B524E8">
        <w:t>.</w:t>
      </w:r>
      <w:r w:rsidR="004667EB">
        <w:t xml:space="preserve"> </w:t>
      </w:r>
      <w:r w:rsidR="00F565CE">
        <w:t>As a c</w:t>
      </w:r>
      <w:r w:rsidR="002F26C7">
        <w:t>onclud</w:t>
      </w:r>
      <w:r w:rsidR="00F565CE">
        <w:t>ing point</w:t>
      </w:r>
      <w:r w:rsidR="002F26C7">
        <w:t>, however</w:t>
      </w:r>
      <w:r w:rsidR="00D64FA6" w:rsidRPr="0071035F">
        <w:t>,</w:t>
      </w:r>
      <w:r w:rsidR="00F5537C">
        <w:t xml:space="preserve"> I would gesture towards</w:t>
      </w:r>
      <w:r w:rsidR="00C06173" w:rsidRPr="0071035F">
        <w:t xml:space="preserve"> two</w:t>
      </w:r>
      <w:r w:rsidR="009B4AF5" w:rsidRPr="0071035F">
        <w:t xml:space="preserve"> contemporary </w:t>
      </w:r>
      <w:r w:rsidR="00C108B3" w:rsidRPr="0071035F">
        <w:t>creative-critical projects</w:t>
      </w:r>
      <w:r w:rsidR="00AC7545" w:rsidRPr="0071035F">
        <w:t xml:space="preserve"> which</w:t>
      </w:r>
      <w:r w:rsidR="006F6AF6">
        <w:t xml:space="preserve"> work in a comparable</w:t>
      </w:r>
      <w:r w:rsidR="00FC3A0F" w:rsidRPr="0071035F">
        <w:t xml:space="preserve"> vein to </w:t>
      </w:r>
      <w:r w:rsidR="00FC3A0F" w:rsidRPr="0071035F">
        <w:rPr>
          <w:i/>
        </w:rPr>
        <w:t>Cook</w:t>
      </w:r>
      <w:r w:rsidR="00F35C21">
        <w:rPr>
          <w:i/>
        </w:rPr>
        <w:t>’</w:t>
      </w:r>
      <w:r w:rsidR="00FC3A0F" w:rsidRPr="0071035F">
        <w:rPr>
          <w:i/>
        </w:rPr>
        <w:t>s Sites</w:t>
      </w:r>
      <w:r w:rsidR="00FC3A0F" w:rsidRPr="0071035F">
        <w:t xml:space="preserve">, and </w:t>
      </w:r>
      <w:r w:rsidR="00AC7545" w:rsidRPr="0071035F">
        <w:t>which</w:t>
      </w:r>
      <w:r w:rsidR="00FC3A0F" w:rsidRPr="0071035F">
        <w:t xml:space="preserve"> </w:t>
      </w:r>
      <w:r w:rsidR="009B4AF5" w:rsidRPr="0071035F">
        <w:t xml:space="preserve">are </w:t>
      </w:r>
      <w:r w:rsidR="003B7408" w:rsidRPr="0071035F">
        <w:t xml:space="preserve">readily </w:t>
      </w:r>
      <w:r w:rsidR="009B4AF5" w:rsidRPr="0071035F">
        <w:t>available as online resources</w:t>
      </w:r>
      <w:r w:rsidR="00336176" w:rsidRPr="0071035F">
        <w:t xml:space="preserve">. </w:t>
      </w:r>
      <w:r w:rsidR="008F65DF" w:rsidRPr="0071035F">
        <w:t>T</w:t>
      </w:r>
      <w:r w:rsidR="00C06173" w:rsidRPr="0071035F">
        <w:t>hese projects</w:t>
      </w:r>
      <w:r w:rsidR="009B4AF5" w:rsidRPr="0071035F">
        <w:t xml:space="preserve"> </w:t>
      </w:r>
      <w:r w:rsidR="00794958">
        <w:t>open prod</w:t>
      </w:r>
      <w:r w:rsidR="00313CD8">
        <w:t>uctive</w:t>
      </w:r>
      <w:r w:rsidR="00F05BC7" w:rsidRPr="0071035F">
        <w:t xml:space="preserve"> </w:t>
      </w:r>
      <w:r w:rsidR="008101E5" w:rsidRPr="0071035F">
        <w:t xml:space="preserve">new </w:t>
      </w:r>
      <w:r w:rsidR="00F05BC7" w:rsidRPr="0071035F">
        <w:t xml:space="preserve">lines </w:t>
      </w:r>
      <w:r w:rsidR="00621B63" w:rsidRPr="0071035F">
        <w:t>of inquiry</w:t>
      </w:r>
      <w:r w:rsidR="00C06173" w:rsidRPr="0071035F">
        <w:t xml:space="preserve"> </w:t>
      </w:r>
      <w:r w:rsidR="00A94D87">
        <w:t>into the writing of nineteenth-</w:t>
      </w:r>
      <w:r w:rsidR="00DE05B5">
        <w:t xml:space="preserve">century New Zealand </w:t>
      </w:r>
      <w:r w:rsidR="00C06173" w:rsidRPr="0071035F">
        <w:t>and they</w:t>
      </w:r>
      <w:r w:rsidR="00F05BC7" w:rsidRPr="0071035F">
        <w:t xml:space="preserve"> </w:t>
      </w:r>
      <w:r w:rsidR="009B4AF5" w:rsidRPr="0071035F">
        <w:t xml:space="preserve">seem to </w:t>
      </w:r>
      <w:r w:rsidR="00A94D87">
        <w:t>“</w:t>
      </w:r>
      <w:r w:rsidR="00FB2A2C" w:rsidRPr="0071035F">
        <w:t>speak</w:t>
      </w:r>
      <w:r w:rsidR="00A94D87">
        <w:t>”</w:t>
      </w:r>
      <w:r w:rsidR="00FB2A2C" w:rsidRPr="0071035F">
        <w:t xml:space="preserve"> </w:t>
      </w:r>
      <w:r w:rsidR="00820F91" w:rsidRPr="0071035F">
        <w:t>in</w:t>
      </w:r>
      <w:r w:rsidR="00073340" w:rsidRPr="0071035F">
        <w:t xml:space="preserve"> compe</w:t>
      </w:r>
      <w:r w:rsidR="00820F91" w:rsidRPr="0071035F">
        <w:t>lling ways</w:t>
      </w:r>
      <w:r w:rsidR="00073340" w:rsidRPr="0071035F">
        <w:t xml:space="preserve"> </w:t>
      </w:r>
      <w:r w:rsidR="00FB2A2C" w:rsidRPr="0071035F">
        <w:t xml:space="preserve">to a </w:t>
      </w:r>
      <w:r w:rsidR="009B4AF5" w:rsidRPr="0071035F">
        <w:t>twenty-first</w:t>
      </w:r>
      <w:r w:rsidR="00A94D87">
        <w:t>-</w:t>
      </w:r>
      <w:r w:rsidR="00FB2A2C" w:rsidRPr="0071035F">
        <w:t>century classroom.</w:t>
      </w:r>
      <w:r w:rsidR="00757770" w:rsidRPr="0071035F">
        <w:t xml:space="preserve"> </w:t>
      </w:r>
      <w:r w:rsidR="00E103F5" w:rsidRPr="0071035F">
        <w:t xml:space="preserve">I would add that </w:t>
      </w:r>
      <w:r w:rsidR="00AC7545" w:rsidRPr="0071035F">
        <w:t>integra</w:t>
      </w:r>
      <w:r w:rsidR="00621B63" w:rsidRPr="0071035F">
        <w:t>ting</w:t>
      </w:r>
      <w:r w:rsidR="006848D7" w:rsidRPr="0071035F">
        <w:t xml:space="preserve"> </w:t>
      </w:r>
      <w:r w:rsidR="00E103F5" w:rsidRPr="0071035F">
        <w:t xml:space="preserve">into a teaching syllabus </w:t>
      </w:r>
      <w:r w:rsidR="00CE3FB8">
        <w:t>text</w:t>
      </w:r>
      <w:r w:rsidR="008F65DF" w:rsidRPr="0071035F">
        <w:t>s that engage</w:t>
      </w:r>
      <w:r w:rsidR="00621B63" w:rsidRPr="0071035F">
        <w:t xml:space="preserve"> with—</w:t>
      </w:r>
      <w:r w:rsidR="008F65DF" w:rsidRPr="0071035F">
        <w:t>and</w:t>
      </w:r>
      <w:r w:rsidR="00621B63" w:rsidRPr="0071035F">
        <w:t xml:space="preserve"> </w:t>
      </w:r>
      <w:r w:rsidR="008F65DF" w:rsidRPr="0071035F">
        <w:t>yet move</w:t>
      </w:r>
      <w:r w:rsidR="00621B63" w:rsidRPr="0071035F">
        <w:t xml:space="preserve"> beyond—</w:t>
      </w:r>
      <w:r w:rsidR="008F65DF" w:rsidRPr="0071035F">
        <w:t>the</w:t>
      </w:r>
      <w:r w:rsidR="00621B63" w:rsidRPr="0071035F">
        <w:t xml:space="preserve"> </w:t>
      </w:r>
      <w:r w:rsidR="008F65DF" w:rsidRPr="0071035F">
        <w:t xml:space="preserve">bookshelf </w:t>
      </w:r>
      <w:r w:rsidR="00621B63" w:rsidRPr="0071035F">
        <w:t>serves to challenge</w:t>
      </w:r>
      <w:r w:rsidR="00AC7545" w:rsidRPr="0071035F">
        <w:t xml:space="preserve"> conventional distinctions between primary and secondary sources</w:t>
      </w:r>
      <w:r w:rsidR="00B52AAC">
        <w:t xml:space="preserve"> (and between canonical texts and their </w:t>
      </w:r>
      <w:r w:rsidR="00A94D87">
        <w:t>“</w:t>
      </w:r>
      <w:r w:rsidR="00B52AAC">
        <w:t>others</w:t>
      </w:r>
      <w:r w:rsidR="00A94D87">
        <w:t>”</w:t>
      </w:r>
      <w:r w:rsidR="00B52AAC">
        <w:t>)</w:t>
      </w:r>
      <w:r w:rsidR="008F65DF" w:rsidRPr="0071035F">
        <w:t xml:space="preserve">, </w:t>
      </w:r>
      <w:r w:rsidR="00AC7545" w:rsidRPr="0071035F">
        <w:t xml:space="preserve">and </w:t>
      </w:r>
      <w:r w:rsidR="00E103F5" w:rsidRPr="0071035F">
        <w:t>offers</w:t>
      </w:r>
      <w:r w:rsidR="001F1DEF" w:rsidRPr="0071035F">
        <w:t xml:space="preserve"> model</w:t>
      </w:r>
      <w:r w:rsidR="00E103F5" w:rsidRPr="0071035F">
        <w:t xml:space="preserve">s for </w:t>
      </w:r>
      <w:r w:rsidR="00C47AE4">
        <w:t>expanded mode</w:t>
      </w:r>
      <w:r w:rsidR="00F31A93">
        <w:t xml:space="preserve">s of </w:t>
      </w:r>
      <w:r w:rsidR="00E103F5" w:rsidRPr="0071035F">
        <w:t xml:space="preserve">student engagement. </w:t>
      </w:r>
      <w:r w:rsidR="00B524E8">
        <w:t>In particular, t</w:t>
      </w:r>
      <w:r w:rsidR="00FC3A0F" w:rsidRPr="0071035F">
        <w:t xml:space="preserve">his material lends itself to the elaboration of </w:t>
      </w:r>
      <w:r>
        <w:t>image-text or digital media</w:t>
      </w:r>
      <w:r w:rsidR="00E103F5" w:rsidRPr="0071035F">
        <w:t xml:space="preserve"> or other performative or applied </w:t>
      </w:r>
      <w:r w:rsidR="00CB26BE" w:rsidRPr="0071035F">
        <w:t xml:space="preserve">critical-creative </w:t>
      </w:r>
      <w:r w:rsidR="00E103F5" w:rsidRPr="0071035F">
        <w:t xml:space="preserve">responses to </w:t>
      </w:r>
      <w:r w:rsidR="00A94D87">
        <w:t>nineteenth-</w:t>
      </w:r>
      <w:r w:rsidR="00C06173" w:rsidRPr="0071035F">
        <w:t>century writing</w:t>
      </w:r>
      <w:r w:rsidR="006848D7" w:rsidRPr="0071035F">
        <w:t>s, motifs</w:t>
      </w:r>
      <w:r w:rsidR="00E103F5" w:rsidRPr="0071035F">
        <w:t xml:space="preserve"> and concerns. </w:t>
      </w:r>
    </w:p>
    <w:p w14:paraId="1FBC2F86" w14:textId="1EADFAE5" w:rsidR="00FB2A2C" w:rsidRPr="0071035F" w:rsidRDefault="00621B63" w:rsidP="004D4D84">
      <w:pPr>
        <w:spacing w:after="120" w:line="360" w:lineRule="auto"/>
        <w:ind w:firstLine="720"/>
        <w:jc w:val="both"/>
      </w:pPr>
      <w:r w:rsidRPr="0071035F">
        <w:lastRenderedPageBreak/>
        <w:t>The first of the</w:t>
      </w:r>
      <w:r w:rsidR="00BD3925" w:rsidRPr="0071035F">
        <w:t xml:space="preserve"> </w:t>
      </w:r>
      <w:r w:rsidR="00D64FA6" w:rsidRPr="0071035F">
        <w:t xml:space="preserve">two </w:t>
      </w:r>
      <w:r w:rsidR="00BD3925" w:rsidRPr="0071035F">
        <w:t xml:space="preserve">projects, </w:t>
      </w:r>
      <w:r w:rsidRPr="0071035F">
        <w:t>en</w:t>
      </w:r>
      <w:r w:rsidR="00BD3925" w:rsidRPr="0071035F">
        <w:t xml:space="preserve">titled </w:t>
      </w:r>
      <w:r w:rsidR="005D5DBE" w:rsidRPr="0071035F">
        <w:rPr>
          <w:i/>
        </w:rPr>
        <w:t>Wastelands</w:t>
      </w:r>
      <w:r w:rsidR="001F1DEF" w:rsidRPr="0071035F">
        <w:t xml:space="preserve">, </w:t>
      </w:r>
      <w:r w:rsidR="00DE05B5">
        <w:t>draws together</w:t>
      </w:r>
      <w:r w:rsidR="003A18E7">
        <w:t xml:space="preserve"> the threads of abandonment and collapse </w:t>
      </w:r>
      <w:r w:rsidR="00765185">
        <w:t xml:space="preserve">that are </w:t>
      </w:r>
      <w:r w:rsidR="003A18E7">
        <w:t>traceable through the writing</w:t>
      </w:r>
      <w:r w:rsidR="00765185">
        <w:t>s</w:t>
      </w:r>
      <w:r w:rsidR="003A18E7">
        <w:t xml:space="preserve"> of Barker and Forster</w:t>
      </w:r>
      <w:r w:rsidR="00DE05B5">
        <w:t xml:space="preserve">, and the </w:t>
      </w:r>
      <w:r w:rsidR="00794958">
        <w:t xml:space="preserve">satirical </w:t>
      </w:r>
      <w:r w:rsidR="00DE05B5">
        <w:t>threads that are woven through the writings of Maning, Butler and Mackay</w:t>
      </w:r>
      <w:r w:rsidR="003A18E7">
        <w:t xml:space="preserve">. It </w:t>
      </w:r>
      <w:r w:rsidR="001F1DEF" w:rsidRPr="0071035F">
        <w:t xml:space="preserve">comprises </w:t>
      </w:r>
      <w:r w:rsidR="000501F3" w:rsidRPr="0071035F">
        <w:t>text written by</w:t>
      </w:r>
      <w:r w:rsidR="004C25D2" w:rsidRPr="0071035F">
        <w:t xml:space="preserve"> </w:t>
      </w:r>
      <w:r w:rsidR="00BD3925" w:rsidRPr="0071035F">
        <w:t>Stephen Turner</w:t>
      </w:r>
      <w:r w:rsidR="000501F3" w:rsidRPr="0071035F">
        <w:t>, a</w:t>
      </w:r>
      <w:r w:rsidR="00F32B68" w:rsidRPr="0071035F">
        <w:t>n Auckland-based</w:t>
      </w:r>
      <w:r w:rsidR="000501F3" w:rsidRPr="0071035F">
        <w:t xml:space="preserve"> </w:t>
      </w:r>
      <w:r w:rsidR="00F32B68" w:rsidRPr="0071035F">
        <w:t>academic</w:t>
      </w:r>
      <w:r w:rsidR="000501F3" w:rsidRPr="0071035F">
        <w:t>,</w:t>
      </w:r>
      <w:r w:rsidR="00BD3925" w:rsidRPr="0071035F">
        <w:t xml:space="preserve"> to accompany </w:t>
      </w:r>
      <w:r w:rsidR="008101E5" w:rsidRPr="0071035F">
        <w:rPr>
          <w:i/>
        </w:rPr>
        <w:t>A Ride in the Darkness</w:t>
      </w:r>
      <w:r w:rsidR="008101E5" w:rsidRPr="0071035F">
        <w:t xml:space="preserve">, </w:t>
      </w:r>
      <w:r w:rsidR="00BD3925" w:rsidRPr="0071035F">
        <w:t xml:space="preserve">a 2010 </w:t>
      </w:r>
      <w:r w:rsidR="00FB2A2C" w:rsidRPr="0071035F">
        <w:t>exhibition</w:t>
      </w:r>
      <w:r w:rsidR="00BD3925" w:rsidRPr="0071035F">
        <w:t xml:space="preserve"> of </w:t>
      </w:r>
      <w:r w:rsidR="00FC3A0F" w:rsidRPr="0071035F">
        <w:t xml:space="preserve">contemporary </w:t>
      </w:r>
      <w:r w:rsidR="001F1DEF" w:rsidRPr="0071035F">
        <w:t xml:space="preserve">photographs of </w:t>
      </w:r>
      <w:r w:rsidR="00FB2A2C" w:rsidRPr="0071035F">
        <w:t xml:space="preserve">sites </w:t>
      </w:r>
      <w:r w:rsidR="00453B9C">
        <w:t xml:space="preserve">and icons </w:t>
      </w:r>
      <w:r w:rsidR="00FB2A2C" w:rsidRPr="0071035F">
        <w:t xml:space="preserve">of failed </w:t>
      </w:r>
      <w:r w:rsidR="00A94D87">
        <w:t>nineteenth-</w:t>
      </w:r>
      <w:r w:rsidR="00BD3925" w:rsidRPr="0071035F">
        <w:t xml:space="preserve">century </w:t>
      </w:r>
      <w:r w:rsidR="00FB2A2C" w:rsidRPr="0071035F">
        <w:t xml:space="preserve">settlement. </w:t>
      </w:r>
      <w:r w:rsidR="004065A2" w:rsidRPr="0071035F">
        <w:t xml:space="preserve">Both in </w:t>
      </w:r>
      <w:r w:rsidR="008F61B1" w:rsidRPr="0071035F">
        <w:t xml:space="preserve">the </w:t>
      </w:r>
      <w:r w:rsidR="00BD3925" w:rsidRPr="0071035F">
        <w:t xml:space="preserve">photographs and </w:t>
      </w:r>
      <w:r w:rsidR="004065A2" w:rsidRPr="0071035F">
        <w:t xml:space="preserve">in </w:t>
      </w:r>
      <w:r w:rsidR="00EE26CD" w:rsidRPr="0071035F">
        <w:t>the</w:t>
      </w:r>
      <w:r w:rsidR="004065A2" w:rsidRPr="0071035F">
        <w:t xml:space="preserve"> </w:t>
      </w:r>
      <w:r w:rsidR="00BD3925" w:rsidRPr="0071035F">
        <w:t xml:space="preserve">written text there is a </w:t>
      </w:r>
      <w:r w:rsidR="00AE1D4E" w:rsidRPr="0071035F">
        <w:t xml:space="preserve">concerted </w:t>
      </w:r>
      <w:r w:rsidR="00BD3925" w:rsidRPr="0071035F">
        <w:t xml:space="preserve">doubling </w:t>
      </w:r>
      <w:r w:rsidR="00C75DC9" w:rsidRPr="0071035F">
        <w:t>at work</w:t>
      </w:r>
      <w:r w:rsidR="00AE1D4E" w:rsidRPr="0071035F">
        <w:t>.</w:t>
      </w:r>
      <w:r w:rsidR="00BD3925" w:rsidRPr="0071035F">
        <w:t xml:space="preserve"> </w:t>
      </w:r>
      <w:r w:rsidR="008F61B1" w:rsidRPr="0071035F">
        <w:t xml:space="preserve">Ann </w:t>
      </w:r>
      <w:r w:rsidR="00BD3925" w:rsidRPr="0071035F">
        <w:t>Shelton</w:t>
      </w:r>
      <w:r w:rsidR="00F35C21">
        <w:t>’</w:t>
      </w:r>
      <w:r w:rsidR="00BD3925" w:rsidRPr="0071035F">
        <w:t xml:space="preserve">s </w:t>
      </w:r>
      <w:r w:rsidR="001F1DEF" w:rsidRPr="0071035F">
        <w:t>dazzlingly</w:t>
      </w:r>
      <w:r w:rsidR="00537B25" w:rsidRPr="0071035F">
        <w:t xml:space="preserve"> high-colour </w:t>
      </w:r>
      <w:r w:rsidR="008F65DF" w:rsidRPr="0071035F">
        <w:t xml:space="preserve">coffee-table-book </w:t>
      </w:r>
      <w:r w:rsidR="00EE26CD" w:rsidRPr="0071035F">
        <w:t xml:space="preserve">landscape </w:t>
      </w:r>
      <w:r w:rsidR="00BD3925" w:rsidRPr="0071035F">
        <w:t>images are mirrored</w:t>
      </w:r>
      <w:r w:rsidR="00642C9E" w:rsidRPr="0071035F">
        <w:t>, Rorschach-like,</w:t>
      </w:r>
      <w:r w:rsidR="00BD3925" w:rsidRPr="0071035F">
        <w:t xml:space="preserve"> </w:t>
      </w:r>
      <w:r w:rsidR="004065A2" w:rsidRPr="0071035F">
        <w:t>along vertical axe</w:t>
      </w:r>
      <w:r w:rsidR="00BD3925" w:rsidRPr="0071035F">
        <w:t xml:space="preserve">s of symmetry, while </w:t>
      </w:r>
      <w:r w:rsidR="00FB2A2C" w:rsidRPr="0071035F">
        <w:t>T</w:t>
      </w:r>
      <w:r w:rsidR="00BD3925" w:rsidRPr="0071035F">
        <w:t>urner</w:t>
      </w:r>
      <w:r w:rsidR="00F35C21">
        <w:t>’</w:t>
      </w:r>
      <w:r w:rsidR="00BD3925" w:rsidRPr="0071035F">
        <w:t xml:space="preserve">s text, </w:t>
      </w:r>
      <w:r w:rsidR="00F32B68" w:rsidRPr="0071035F">
        <w:t xml:space="preserve">which is </w:t>
      </w:r>
      <w:r w:rsidR="00BD3925" w:rsidRPr="0071035F">
        <w:t>presen</w:t>
      </w:r>
      <w:r w:rsidR="004065A2" w:rsidRPr="0071035F">
        <w:t xml:space="preserve">ted in </w:t>
      </w:r>
      <w:r w:rsidR="000501F3" w:rsidRPr="0071035F">
        <w:t xml:space="preserve">the format of a </w:t>
      </w:r>
      <w:r w:rsidR="004065A2" w:rsidRPr="0071035F">
        <w:t xml:space="preserve">newspaper, </w:t>
      </w:r>
      <w:r w:rsidR="00BD3925" w:rsidRPr="0071035F">
        <w:t>comprises two distinct—</w:t>
      </w:r>
      <w:r w:rsidR="001F1DEF" w:rsidRPr="0071035F">
        <w:t>although visual</w:t>
      </w:r>
      <w:r w:rsidR="00BD3925" w:rsidRPr="0071035F">
        <w:t xml:space="preserve">ly indistinguishable—strands. One of these </w:t>
      </w:r>
      <w:r w:rsidR="004065A2" w:rsidRPr="0071035F">
        <w:t xml:space="preserve">strands </w:t>
      </w:r>
      <w:r w:rsidR="00BD3925" w:rsidRPr="0071035F">
        <w:t>draws upon and</w:t>
      </w:r>
      <w:r w:rsidR="00FB2A2C" w:rsidRPr="0071035F">
        <w:t xml:space="preserve"> </w:t>
      </w:r>
      <w:r w:rsidR="00BD3925" w:rsidRPr="0071035F">
        <w:t xml:space="preserve">emulates </w:t>
      </w:r>
      <w:r w:rsidR="00FB2A2C" w:rsidRPr="0071035F">
        <w:t xml:space="preserve">conventional </w:t>
      </w:r>
      <w:r w:rsidR="00BD3925" w:rsidRPr="0071035F">
        <w:t xml:space="preserve">modes of settler </w:t>
      </w:r>
      <w:r w:rsidR="00FB2A2C" w:rsidRPr="0071035F">
        <w:t>historiography</w:t>
      </w:r>
      <w:r w:rsidR="008101E5" w:rsidRPr="0071035F">
        <w:t>, field</w:t>
      </w:r>
      <w:r w:rsidR="00BD3925" w:rsidRPr="0071035F">
        <w:t xml:space="preserve">ing a lexicon of proper nouns, dates, geographical distances, statistics and other </w:t>
      </w:r>
      <w:r w:rsidR="00A94D87">
        <w:t>“</w:t>
      </w:r>
      <w:r w:rsidR="00BD3925" w:rsidRPr="0071035F">
        <w:t>empirical</w:t>
      </w:r>
      <w:r w:rsidR="00A94D87">
        <w:t>”</w:t>
      </w:r>
      <w:r w:rsidR="00BD3925" w:rsidRPr="0071035F">
        <w:t xml:space="preserve"> data. </w:t>
      </w:r>
      <w:r w:rsidR="000D4C1C">
        <w:t>The second</w:t>
      </w:r>
      <w:r w:rsidR="00FB2A2C" w:rsidRPr="0071035F">
        <w:t xml:space="preserve"> </w:t>
      </w:r>
      <w:r w:rsidR="00BD3925" w:rsidRPr="0071035F">
        <w:t xml:space="preserve">strand </w:t>
      </w:r>
      <w:r w:rsidR="004065A2" w:rsidRPr="0071035F">
        <w:t>offers a</w:t>
      </w:r>
      <w:r w:rsidR="008101E5" w:rsidRPr="0071035F">
        <w:t>n abstractive</w:t>
      </w:r>
      <w:r w:rsidR="00FB2A2C" w:rsidRPr="0071035F">
        <w:t xml:space="preserve"> meditation</w:t>
      </w:r>
      <w:r w:rsidR="004065A2" w:rsidRPr="0071035F">
        <w:t xml:space="preserve"> on abs</w:t>
      </w:r>
      <w:r w:rsidR="008101E5" w:rsidRPr="0071035F">
        <w:t>ence, loss, negation and</w:t>
      </w:r>
      <w:r w:rsidR="004065A2" w:rsidRPr="0071035F">
        <w:t xml:space="preserve"> processes of collapse</w:t>
      </w:r>
      <w:r w:rsidR="00FB2A2C" w:rsidRPr="0071035F">
        <w:t>.</w:t>
      </w:r>
      <w:r w:rsidR="004065A2" w:rsidRPr="0071035F">
        <w:t xml:space="preserve"> </w:t>
      </w:r>
      <w:r w:rsidR="00CC1AEE" w:rsidRPr="0071035F">
        <w:t xml:space="preserve">As the text proceeds, </w:t>
      </w:r>
      <w:r w:rsidR="006848D7" w:rsidRPr="0071035F">
        <w:t>the historiographical</w:t>
      </w:r>
      <w:r w:rsidR="00CC1AEE" w:rsidRPr="0071035F">
        <w:t xml:space="preserve"> material comes</w:t>
      </w:r>
      <w:r w:rsidR="006848D7" w:rsidRPr="0071035F">
        <w:t xml:space="preserve"> under increasing strain, eventually </w:t>
      </w:r>
      <w:r w:rsidR="00CB26BE" w:rsidRPr="0071035F">
        <w:t>becoming</w:t>
      </w:r>
      <w:r w:rsidR="00F33414">
        <w:t xml:space="preserve"> </w:t>
      </w:r>
      <w:r w:rsidR="00C01C61" w:rsidRPr="0071035F">
        <w:t>mark</w:t>
      </w:r>
      <w:r w:rsidR="00CB26BE" w:rsidRPr="0071035F">
        <w:t xml:space="preserve">ed by </w:t>
      </w:r>
      <w:r w:rsidR="00C01C61" w:rsidRPr="0071035F">
        <w:t xml:space="preserve">explosive </w:t>
      </w:r>
      <w:r w:rsidR="00D7290D" w:rsidRPr="0071035F">
        <w:t>incursio</w:t>
      </w:r>
      <w:r w:rsidR="00CC1AEE" w:rsidRPr="0071035F">
        <w:t xml:space="preserve">ns </w:t>
      </w:r>
      <w:r w:rsidR="006848D7" w:rsidRPr="0071035F">
        <w:t>from the abstractive material which cannot be contain</w:t>
      </w:r>
      <w:r w:rsidR="00580644" w:rsidRPr="0071035F">
        <w:t>ed withi</w:t>
      </w:r>
      <w:r w:rsidR="000501F3" w:rsidRPr="0071035F">
        <w:t xml:space="preserve">n its </w:t>
      </w:r>
      <w:r w:rsidR="00131F95" w:rsidRPr="0071035F">
        <w:t xml:space="preserve">own </w:t>
      </w:r>
      <w:r w:rsidR="00274A72" w:rsidRPr="0071035F">
        <w:t xml:space="preserve">apparently </w:t>
      </w:r>
      <w:r w:rsidR="000501F3" w:rsidRPr="0071035F">
        <w:t>circumscrib</w:t>
      </w:r>
      <w:r w:rsidR="00580644" w:rsidRPr="0071035F">
        <w:t>ed</w:t>
      </w:r>
      <w:r w:rsidR="006848D7" w:rsidRPr="0071035F">
        <w:t xml:space="preserve"> paragraphs. </w:t>
      </w:r>
      <w:r w:rsidR="00AC7545" w:rsidRPr="0071035F">
        <w:t>Recall</w:t>
      </w:r>
      <w:r w:rsidR="004065A2" w:rsidRPr="0071035F">
        <w:t>ing a v</w:t>
      </w:r>
      <w:r w:rsidR="00A94D87">
        <w:t>ersion—and vision—of nineteenth-</w:t>
      </w:r>
      <w:r w:rsidR="004065A2" w:rsidRPr="0071035F">
        <w:t xml:space="preserve">century New Zealand that has largely </w:t>
      </w:r>
      <w:r w:rsidR="0051213B" w:rsidRPr="0071035F">
        <w:t>come to be</w:t>
      </w:r>
      <w:r w:rsidR="00732688">
        <w:t xml:space="preserve"> e</w:t>
      </w:r>
      <w:r w:rsidR="00A94D87">
        <w:t>xcluded from official twentieth-</w:t>
      </w:r>
      <w:r w:rsidR="00732688">
        <w:t>century</w:t>
      </w:r>
      <w:r w:rsidR="004065A2" w:rsidRPr="0071035F">
        <w:t xml:space="preserve"> </w:t>
      </w:r>
      <w:r w:rsidR="00732688">
        <w:t>re</w:t>
      </w:r>
      <w:r w:rsidR="004065A2" w:rsidRPr="0071035F">
        <w:t>writing</w:t>
      </w:r>
      <w:r w:rsidR="00732688">
        <w:t>s</w:t>
      </w:r>
      <w:r w:rsidR="004065A2" w:rsidRPr="0071035F">
        <w:t xml:space="preserve"> of this place, </w:t>
      </w:r>
      <w:r w:rsidR="00732688">
        <w:t>and registering</w:t>
      </w:r>
      <w:r w:rsidR="006848D7" w:rsidRPr="0071035F">
        <w:t xml:space="preserve"> pressure-points that underl</w:t>
      </w:r>
      <w:r w:rsidR="00732688">
        <w:t>ie a</w:t>
      </w:r>
      <w:r w:rsidR="008F61B1" w:rsidRPr="0071035F">
        <w:t xml:space="preserve"> troubled sensible order</w:t>
      </w:r>
      <w:r w:rsidR="006848D7" w:rsidRPr="0071035F">
        <w:t xml:space="preserve">, </w:t>
      </w:r>
      <w:r w:rsidR="004065A2" w:rsidRPr="0071035F">
        <w:t>Turner</w:t>
      </w:r>
      <w:r w:rsidR="00FB2A2C" w:rsidRPr="0071035F">
        <w:t xml:space="preserve"> </w:t>
      </w:r>
      <w:r w:rsidR="00C108B3" w:rsidRPr="0071035F">
        <w:t>requires readers</w:t>
      </w:r>
      <w:r w:rsidR="004065A2" w:rsidRPr="0071035F">
        <w:t xml:space="preserve"> to </w:t>
      </w:r>
      <w:r w:rsidR="00A94D87">
        <w:t>“</w:t>
      </w:r>
      <w:r w:rsidR="00073340" w:rsidRPr="0071035F">
        <w:t>try back</w:t>
      </w:r>
      <w:r w:rsidR="00A94D87">
        <w:t>”</w:t>
      </w:r>
      <w:r w:rsidR="00F31A93">
        <w:t xml:space="preserve"> in order that they might</w:t>
      </w:r>
      <w:r w:rsidR="00073340" w:rsidRPr="0071035F">
        <w:t xml:space="preserve"> </w:t>
      </w:r>
      <w:r w:rsidR="00BD69E2" w:rsidRPr="00BD69E2">
        <w:t>face</w:t>
      </w:r>
      <w:r w:rsidR="00BD69E2">
        <w:t xml:space="preserve"> (and thus</w:t>
      </w:r>
      <w:r w:rsidR="00BD69E2" w:rsidRPr="00BD69E2">
        <w:t xml:space="preserve"> be </w:t>
      </w:r>
      <w:r w:rsidR="00BD69E2" w:rsidRPr="00F33414">
        <w:t xml:space="preserve">re-faced </w:t>
      </w:r>
      <w:r w:rsidR="00BD69E2" w:rsidRPr="00BD69E2">
        <w:t>by</w:t>
      </w:r>
      <w:r w:rsidR="00BD69E2">
        <w:t xml:space="preserve">) </w:t>
      </w:r>
      <w:r w:rsidR="004065A2" w:rsidRPr="0071035F">
        <w:t xml:space="preserve">the </w:t>
      </w:r>
      <w:r w:rsidR="008101E5" w:rsidRPr="0071035F">
        <w:t xml:space="preserve">constitutively </w:t>
      </w:r>
      <w:r w:rsidR="004667EB">
        <w:t>unstable</w:t>
      </w:r>
      <w:r w:rsidR="004065A2" w:rsidRPr="0071035F">
        <w:t xml:space="preserve"> ground of settlement.</w:t>
      </w:r>
      <w:r w:rsidR="00FC3A0F" w:rsidRPr="0071035F">
        <w:t xml:space="preserve"> </w:t>
      </w:r>
      <w:r w:rsidR="00C108B3" w:rsidRPr="0071035F">
        <w:t xml:space="preserve"> </w:t>
      </w:r>
    </w:p>
    <w:p w14:paraId="1177E918" w14:textId="6B386A49" w:rsidR="00F05BC7" w:rsidRPr="0071035F" w:rsidRDefault="00B524E8" w:rsidP="004D4D84">
      <w:pPr>
        <w:spacing w:after="120" w:line="360" w:lineRule="auto"/>
        <w:ind w:firstLine="720"/>
        <w:jc w:val="both"/>
      </w:pPr>
      <w:r>
        <w:t>The</w:t>
      </w:r>
      <w:r w:rsidRPr="0071035F">
        <w:t xml:space="preserve"> second </w:t>
      </w:r>
      <w:r w:rsidR="00C47AE4">
        <w:t xml:space="preserve">contemporary </w:t>
      </w:r>
      <w:r w:rsidRPr="0071035F">
        <w:t>project that works especially well for teaching purposes</w:t>
      </w:r>
      <w:r>
        <w:t>,</w:t>
      </w:r>
      <w:r w:rsidRPr="0071035F">
        <w:rPr>
          <w:i/>
        </w:rPr>
        <w:t xml:space="preserve"> </w:t>
      </w:r>
      <w:r w:rsidR="000501F3" w:rsidRPr="0071035F">
        <w:rPr>
          <w:i/>
        </w:rPr>
        <w:t>The Great South Road in Twenty Steps</w:t>
      </w:r>
      <w:r>
        <w:t xml:space="preserve">, </w:t>
      </w:r>
      <w:r w:rsidR="006F6AF6">
        <w:t>is an online</w:t>
      </w:r>
      <w:r w:rsidR="00C108B3" w:rsidRPr="0071035F">
        <w:t xml:space="preserve"> </w:t>
      </w:r>
      <w:r w:rsidR="001F1DEF" w:rsidRPr="0071035F">
        <w:t xml:space="preserve">multi-media and </w:t>
      </w:r>
      <w:r w:rsidR="004C25D2" w:rsidRPr="0071035F">
        <w:t xml:space="preserve">documentary </w:t>
      </w:r>
      <w:r w:rsidR="00C108B3" w:rsidRPr="0071035F">
        <w:t xml:space="preserve">film </w:t>
      </w:r>
      <w:r w:rsidR="001F1DEF" w:rsidRPr="0071035F">
        <w:t>venture</w:t>
      </w:r>
      <w:r w:rsidR="00F05BC7" w:rsidRPr="0071035F">
        <w:t xml:space="preserve"> </w:t>
      </w:r>
      <w:r w:rsidR="00F32B68" w:rsidRPr="0071035F">
        <w:t xml:space="preserve">that is </w:t>
      </w:r>
      <w:r w:rsidR="002F26C7">
        <w:t>current</w:t>
      </w:r>
      <w:r w:rsidR="00765185">
        <w:t xml:space="preserve">ly </w:t>
      </w:r>
      <w:r w:rsidR="00C108B3" w:rsidRPr="0071035F">
        <w:t>under development</w:t>
      </w:r>
      <w:r w:rsidR="002F26C7">
        <w:t>.</w:t>
      </w:r>
      <w:r w:rsidR="00C75DC9" w:rsidRPr="0071035F">
        <w:t xml:space="preserve"> </w:t>
      </w:r>
      <w:r w:rsidR="008101E5" w:rsidRPr="0071035F">
        <w:t xml:space="preserve">The </w:t>
      </w:r>
      <w:r w:rsidR="00C108B3" w:rsidRPr="0071035F">
        <w:t>co-constructive</w:t>
      </w:r>
      <w:r w:rsidR="008101E5" w:rsidRPr="0071035F">
        <w:t xml:space="preserve"> nature of this project</w:t>
      </w:r>
      <w:r w:rsidR="00A10F3C">
        <w:t xml:space="preserve">, </w:t>
      </w:r>
      <w:r w:rsidR="004C25D2" w:rsidRPr="0071035F">
        <w:t xml:space="preserve">which is </w:t>
      </w:r>
      <w:r w:rsidR="00A94D87">
        <w:t>emphasiz</w:t>
      </w:r>
      <w:r w:rsidR="008101E5" w:rsidRPr="0071035F">
        <w:t>ed by its curators</w:t>
      </w:r>
      <w:r w:rsidR="004C25D2" w:rsidRPr="0071035F">
        <w:t xml:space="preserve">, </w:t>
      </w:r>
      <w:r w:rsidR="008101E5" w:rsidRPr="0071035F">
        <w:t>sociologist-poet Scott Hamilton</w:t>
      </w:r>
      <w:r w:rsidR="00A10F3C">
        <w:t xml:space="preserve"> and filmmaker Paul Janman</w:t>
      </w:r>
      <w:r w:rsidR="008101E5" w:rsidRPr="0071035F">
        <w:t xml:space="preserve">, </w:t>
      </w:r>
      <w:r w:rsidR="004C25D2" w:rsidRPr="0071035F">
        <w:t>means</w:t>
      </w:r>
      <w:r w:rsidR="008101E5" w:rsidRPr="0071035F">
        <w:t xml:space="preserve"> there is </w:t>
      </w:r>
      <w:r w:rsidR="00AE1D4E" w:rsidRPr="0071035F">
        <w:t>opportunity</w:t>
      </w:r>
      <w:r w:rsidR="00642C9E" w:rsidRPr="0071035F">
        <w:t xml:space="preserve"> for students </w:t>
      </w:r>
      <w:r w:rsidR="008101E5" w:rsidRPr="0071035F">
        <w:t xml:space="preserve">to contribute to the work-in-progress. </w:t>
      </w:r>
      <w:r>
        <w:t>Hamilton and Janman revisit</w:t>
      </w:r>
      <w:r w:rsidR="009F36ED" w:rsidRPr="0071035F">
        <w:t xml:space="preserve"> a</w:t>
      </w:r>
      <w:r w:rsidR="004065A2" w:rsidRPr="0071035F">
        <w:t xml:space="preserve"> </w:t>
      </w:r>
      <w:r w:rsidR="00F05BC7" w:rsidRPr="0071035F">
        <w:t xml:space="preserve">major </w:t>
      </w:r>
      <w:r w:rsidR="00C108B3" w:rsidRPr="0071035F">
        <w:t>infrastructural development</w:t>
      </w:r>
      <w:r w:rsidR="00FB2A2C" w:rsidRPr="0071035F">
        <w:t xml:space="preserve"> </w:t>
      </w:r>
      <w:r w:rsidR="00F05BC7" w:rsidRPr="0071035F">
        <w:t>that dates</w:t>
      </w:r>
      <w:r w:rsidR="00FB2A2C" w:rsidRPr="0071035F">
        <w:t xml:space="preserve"> from </w:t>
      </w:r>
      <w:r w:rsidR="00F05BC7" w:rsidRPr="0071035F">
        <w:t xml:space="preserve">the </w:t>
      </w:r>
      <w:r w:rsidR="00FB2A2C" w:rsidRPr="0071035F">
        <w:t>time of Maning</w:t>
      </w:r>
      <w:r w:rsidR="00F35C21">
        <w:t>’</w:t>
      </w:r>
      <w:r w:rsidR="00C108B3" w:rsidRPr="0071035F">
        <w:t>s</w:t>
      </w:r>
      <w:r w:rsidR="00FB2A2C" w:rsidRPr="0071035F">
        <w:t xml:space="preserve"> and Colenso</w:t>
      </w:r>
      <w:r w:rsidR="00F35C21">
        <w:t>’</w:t>
      </w:r>
      <w:r w:rsidR="00FB2A2C" w:rsidRPr="0071035F">
        <w:t>s writings</w:t>
      </w:r>
      <w:r w:rsidR="003647DA">
        <w:t>: t</w:t>
      </w:r>
      <w:r w:rsidR="00F05BC7" w:rsidRPr="0071035F">
        <w:t xml:space="preserve">he Great South Road was constructed </w:t>
      </w:r>
      <w:r w:rsidR="00073340" w:rsidRPr="0071035F">
        <w:t xml:space="preserve">in the 1860s, </w:t>
      </w:r>
      <w:r w:rsidR="00B52AAC">
        <w:t>under the order</w:t>
      </w:r>
      <w:r w:rsidR="00F05BC7" w:rsidRPr="0071035F">
        <w:t xml:space="preserve"> of Governor George Grey</w:t>
      </w:r>
      <w:r w:rsidR="00073340" w:rsidRPr="0071035F">
        <w:t>,</w:t>
      </w:r>
      <w:r w:rsidR="00F05BC7" w:rsidRPr="0071035F">
        <w:t xml:space="preserve"> to facilitate the movement of Imperial troops and ammunition into the W</w:t>
      </w:r>
      <w:r w:rsidR="00C108B3" w:rsidRPr="0071035F">
        <w:t>aikato for the purpose of subduing</w:t>
      </w:r>
      <w:r w:rsidR="00F05BC7" w:rsidRPr="0071035F">
        <w:t xml:space="preserve"> the </w:t>
      </w:r>
      <w:r w:rsidR="00073340" w:rsidRPr="0071035F">
        <w:t>local</w:t>
      </w:r>
      <w:r w:rsidR="00F05BC7" w:rsidRPr="0071035F">
        <w:t xml:space="preserve"> tribes</w:t>
      </w:r>
      <w:r w:rsidR="00FB2A2C" w:rsidRPr="0071035F">
        <w:t xml:space="preserve">. </w:t>
      </w:r>
      <w:r w:rsidR="004E4552" w:rsidRPr="0071035F">
        <w:t xml:space="preserve">Critiquing </w:t>
      </w:r>
      <w:r w:rsidR="00A94D87">
        <w:t>“</w:t>
      </w:r>
      <w:r w:rsidR="00C108B3" w:rsidRPr="0071035F">
        <w:t>the road</w:t>
      </w:r>
      <w:r w:rsidR="00A94D87">
        <w:t>”</w:t>
      </w:r>
      <w:r w:rsidR="00C108B3" w:rsidRPr="0071035F">
        <w:t xml:space="preserve"> a</w:t>
      </w:r>
      <w:r w:rsidR="00C75DC9" w:rsidRPr="0071035F">
        <w:t xml:space="preserve">s a metaphor for progress and </w:t>
      </w:r>
      <w:r w:rsidR="00C108B3" w:rsidRPr="0071035F">
        <w:lastRenderedPageBreak/>
        <w:t>space of settler</w:t>
      </w:r>
      <w:r w:rsidR="00FC3A0F" w:rsidRPr="0071035F">
        <w:t xml:space="preserve"> desi</w:t>
      </w:r>
      <w:r w:rsidR="004E4552" w:rsidRPr="0071035F">
        <w:t>re, the project investigates</w:t>
      </w:r>
      <w:r w:rsidR="00F31A93">
        <w:t xml:space="preserve"> the spatio</w:t>
      </w:r>
      <w:r w:rsidR="00C108B3" w:rsidRPr="0071035F">
        <w:t>temporal re-ordering of place that is eff</w:t>
      </w:r>
      <w:r w:rsidR="00EC1811">
        <w:t xml:space="preserve">ected through </w:t>
      </w:r>
      <w:r w:rsidR="00D622EF">
        <w:t xml:space="preserve">European </w:t>
      </w:r>
      <w:r w:rsidR="00EC1811">
        <w:t>mode</w:t>
      </w:r>
      <w:r w:rsidR="00D622EF">
        <w:t>s</w:t>
      </w:r>
      <w:r w:rsidR="00C108B3" w:rsidRPr="0071035F">
        <w:t xml:space="preserve"> of </w:t>
      </w:r>
      <w:r w:rsidR="00073340" w:rsidRPr="0071035F">
        <w:t xml:space="preserve">inscription, and it </w:t>
      </w:r>
      <w:r w:rsidR="00FC3A0F" w:rsidRPr="0071035F">
        <w:t xml:space="preserve">highlights </w:t>
      </w:r>
      <w:r w:rsidR="00073340" w:rsidRPr="0071035F">
        <w:t xml:space="preserve">the foundation of the country on military </w:t>
      </w:r>
      <w:r w:rsidR="00F22C7E">
        <w:t>emergency and settler unease.</w:t>
      </w:r>
      <w:r w:rsidR="00073340" w:rsidRPr="0071035F">
        <w:t xml:space="preserve"> </w:t>
      </w:r>
      <w:r w:rsidR="004C25D2" w:rsidRPr="0071035F">
        <w:t xml:space="preserve">The project </w:t>
      </w:r>
      <w:r w:rsidR="003612D6" w:rsidRPr="0071035F">
        <w:t>addresses itself both to a local community</w:t>
      </w:r>
      <w:r w:rsidR="00820F91" w:rsidRPr="0071035F">
        <w:t xml:space="preserve"> </w:t>
      </w:r>
      <w:r w:rsidR="003612D6" w:rsidRPr="0071035F">
        <w:t>and</w:t>
      </w:r>
      <w:r w:rsidR="00820F91" w:rsidRPr="0071035F">
        <w:t xml:space="preserve"> </w:t>
      </w:r>
      <w:r w:rsidR="003612D6" w:rsidRPr="0071035F">
        <w:t>to a wider internation</w:t>
      </w:r>
      <w:r w:rsidR="003B7408" w:rsidRPr="0071035F">
        <w:t xml:space="preserve">al audience. </w:t>
      </w:r>
      <w:r w:rsidR="00D05C0F">
        <w:t xml:space="preserve">Because </w:t>
      </w:r>
      <w:r w:rsidR="003B7408" w:rsidRPr="0071035F">
        <w:t xml:space="preserve">it </w:t>
      </w:r>
      <w:r w:rsidR="00AE2510">
        <w:t>problematiz</w:t>
      </w:r>
      <w:r w:rsidR="003B7408" w:rsidRPr="0071035F">
        <w:t>es</w:t>
      </w:r>
      <w:r w:rsidR="00313CD8">
        <w:t xml:space="preserve"> the sublime mountain-</w:t>
      </w:r>
      <w:r w:rsidR="004C25D2" w:rsidRPr="0071035F">
        <w:t xml:space="preserve">scape trope that has been deployed since the nineteenth century to market New Zealand </w:t>
      </w:r>
      <w:r w:rsidR="003612D6" w:rsidRPr="0071035F">
        <w:t>to the world</w:t>
      </w:r>
      <w:r w:rsidR="00CB26BE" w:rsidRPr="0071035F">
        <w:t xml:space="preserve">, </w:t>
      </w:r>
      <w:r w:rsidR="00F22C7E">
        <w:t>it create</w:t>
      </w:r>
      <w:r w:rsidR="00D05C0F">
        <w:t>s a somewhat abrupt and jarring break in the classroom for stu</w:t>
      </w:r>
      <w:r w:rsidR="00F22C7E">
        <w:t xml:space="preserve">dents who half-believe this country </w:t>
      </w:r>
      <w:r w:rsidR="00F22C7E" w:rsidRPr="00F22C7E">
        <w:rPr>
          <w:i/>
        </w:rPr>
        <w:t>is</w:t>
      </w:r>
      <w:r w:rsidR="00D05C0F">
        <w:t xml:space="preserve"> Middle Earth, or </w:t>
      </w:r>
      <w:r w:rsidR="00F22C7E">
        <w:t>the picture postcard perfection</w:t>
      </w:r>
      <w:r w:rsidR="00D05C0F">
        <w:t xml:space="preserve"> of a </w:t>
      </w:r>
      <w:r w:rsidR="00A94D87">
        <w:t>“</w:t>
      </w:r>
      <w:r w:rsidR="00D05C0F">
        <w:t>100% Pure</w:t>
      </w:r>
      <w:r w:rsidR="00A94D87">
        <w:t>”</w:t>
      </w:r>
      <w:r w:rsidR="00D05C0F">
        <w:t xml:space="preserve"> </w:t>
      </w:r>
      <w:r w:rsidR="00066951">
        <w:t xml:space="preserve">Tourism </w:t>
      </w:r>
      <w:r w:rsidR="00D05C0F">
        <w:t>New Zealand advertisement</w:t>
      </w:r>
      <w:r w:rsidR="00033D4C">
        <w:t>. Such</w:t>
      </w:r>
      <w:r w:rsidR="00D05C0F">
        <w:t xml:space="preserve"> </w:t>
      </w:r>
      <w:r w:rsidR="00F22C7E">
        <w:t xml:space="preserve">disruption </w:t>
      </w:r>
      <w:r w:rsidR="00D05C0F">
        <w:t xml:space="preserve">is an intentional strategy on my part, related </w:t>
      </w:r>
      <w:r w:rsidR="00D91604">
        <w:t xml:space="preserve">both </w:t>
      </w:r>
      <w:r w:rsidR="00D05C0F">
        <w:t xml:space="preserve">to Maning, who demands that we </w:t>
      </w:r>
      <w:r w:rsidR="00A94D87">
        <w:t>“</w:t>
      </w:r>
      <w:r w:rsidR="00D05C0F">
        <w:t>see</w:t>
      </w:r>
      <w:r w:rsidR="00A94D87">
        <w:t>”</w:t>
      </w:r>
      <w:r w:rsidR="00D05C0F">
        <w:t xml:space="preserve"> this country as the impossible place that it is,</w:t>
      </w:r>
      <w:r w:rsidR="00F22C7E">
        <w:t xml:space="preserve"> and to a vast</w:t>
      </w:r>
      <w:r w:rsidR="00D05C0F">
        <w:t xml:space="preserve"> body of writings on New Zealand literature, history and culture which smooth or render palatable that which is properly difficult. At the same time</w:t>
      </w:r>
      <w:r w:rsidR="00033D4C">
        <w:t xml:space="preserve"> as it invites interrogation of </w:t>
      </w:r>
      <w:r w:rsidR="00F22C7E">
        <w:t>these representations</w:t>
      </w:r>
      <w:r w:rsidR="00D05C0F">
        <w:t>, the Great South Road project</w:t>
      </w:r>
      <w:r w:rsidR="00CB26BE" w:rsidRPr="0071035F">
        <w:t xml:space="preserve"> searches for</w:t>
      </w:r>
      <w:r w:rsidR="00131F95" w:rsidRPr="0071035F">
        <w:t xml:space="preserve"> an </w:t>
      </w:r>
      <w:r w:rsidR="003B7408" w:rsidRPr="0071035F">
        <w:t>historic</w:t>
      </w:r>
      <w:r w:rsidR="00F32B68" w:rsidRPr="0071035F">
        <w:t xml:space="preserve">ally-inspired </w:t>
      </w:r>
      <w:r w:rsidR="003B7408" w:rsidRPr="0071035F">
        <w:t>poetics</w:t>
      </w:r>
      <w:r w:rsidR="00580644" w:rsidRPr="0071035F">
        <w:t xml:space="preserve"> of place</w:t>
      </w:r>
      <w:r w:rsidR="00820F91" w:rsidRPr="0071035F">
        <w:t xml:space="preserve"> </w:t>
      </w:r>
      <w:r w:rsidR="000501F3" w:rsidRPr="0071035F">
        <w:t>with</w:t>
      </w:r>
      <w:r w:rsidR="00580644" w:rsidRPr="0071035F">
        <w:t xml:space="preserve">in </w:t>
      </w:r>
      <w:r w:rsidR="00820F91" w:rsidRPr="0071035F">
        <w:t>a terrain</w:t>
      </w:r>
      <w:r w:rsidR="001E37A4" w:rsidRPr="0071035F">
        <w:t xml:space="preserve"> cross-hatched with</w:t>
      </w:r>
      <w:r w:rsidR="00BC3583">
        <w:t xml:space="preserve"> competing storie</w:t>
      </w:r>
      <w:r w:rsidR="001E37A4" w:rsidRPr="0071035F">
        <w:t>s</w:t>
      </w:r>
      <w:r w:rsidR="003C17B3">
        <w:t xml:space="preserve">. </w:t>
      </w:r>
      <w:r w:rsidR="00C66CE1">
        <w:t>T</w:t>
      </w:r>
      <w:r w:rsidR="001F1DEF" w:rsidRPr="0071035F">
        <w:t>he project</w:t>
      </w:r>
      <w:r w:rsidR="00FA479C">
        <w:t xml:space="preserve"> insists that divisions between past, present and future are </w:t>
      </w:r>
      <w:r w:rsidR="003C17B3">
        <w:t xml:space="preserve">necessarily </w:t>
      </w:r>
      <w:r w:rsidR="00A94D87">
        <w:t>“</w:t>
      </w:r>
      <w:r w:rsidR="00FA479C">
        <w:t>indistinct</w:t>
      </w:r>
      <w:r w:rsidR="00A94D87">
        <w:t>”</w:t>
      </w:r>
      <w:r w:rsidR="00FA479C">
        <w:t xml:space="preserve"> (</w:t>
      </w:r>
      <w:r w:rsidR="00A94D87">
        <w:t>Mikaere</w:t>
      </w:r>
      <w:r w:rsidR="00746E3A">
        <w:t xml:space="preserve"> </w:t>
      </w:r>
      <w:r w:rsidR="00FA479C">
        <w:t>320)</w:t>
      </w:r>
      <w:r w:rsidR="00C66CE1">
        <w:t>,</w:t>
      </w:r>
      <w:r w:rsidR="00794958">
        <w:t xml:space="preserve"> </w:t>
      </w:r>
      <w:r w:rsidR="00C66CE1">
        <w:t xml:space="preserve">and </w:t>
      </w:r>
      <w:r w:rsidR="00FA479C">
        <w:t xml:space="preserve">that the task of </w:t>
      </w:r>
      <w:r w:rsidR="004C25D2" w:rsidRPr="0071035F">
        <w:t xml:space="preserve">reading </w:t>
      </w:r>
      <w:r w:rsidR="00A94D87">
        <w:t>nineteenth-</w:t>
      </w:r>
      <w:r w:rsidR="003612D6" w:rsidRPr="0071035F">
        <w:t xml:space="preserve">century </w:t>
      </w:r>
      <w:r w:rsidR="004C34A4">
        <w:t>settlement—and of recogniz</w:t>
      </w:r>
      <w:r w:rsidR="008F61B1" w:rsidRPr="0071035F">
        <w:t>in</w:t>
      </w:r>
      <w:r w:rsidR="00F31A93">
        <w:t>g I</w:t>
      </w:r>
      <w:r w:rsidR="00AC7545" w:rsidRPr="0071035F">
        <w:t>ndigenous perspectives on</w:t>
      </w:r>
      <w:r w:rsidR="008F61B1" w:rsidRPr="0071035F">
        <w:t xml:space="preserve"> this history—</w:t>
      </w:r>
      <w:r w:rsidR="004C25D2" w:rsidRPr="0071035F">
        <w:t>must</w:t>
      </w:r>
      <w:r w:rsidR="008F61B1" w:rsidRPr="0071035F">
        <w:t xml:space="preserve"> </w:t>
      </w:r>
      <w:r w:rsidR="004C25D2" w:rsidRPr="0071035F">
        <w:t xml:space="preserve">be approached with </w:t>
      </w:r>
      <w:r w:rsidR="00C75DC9" w:rsidRPr="0071035F">
        <w:t>an exp</w:t>
      </w:r>
      <w:r w:rsidR="00CB26BE" w:rsidRPr="0071035F">
        <w:t>ansive understanding</w:t>
      </w:r>
      <w:r w:rsidR="003612D6" w:rsidRPr="0071035F">
        <w:t xml:space="preserve"> of the </w:t>
      </w:r>
      <w:r w:rsidR="008F61B1" w:rsidRPr="0071035F">
        <w:t xml:space="preserve">multitude of </w:t>
      </w:r>
      <w:r w:rsidR="00131F95" w:rsidRPr="0071035F">
        <w:t>form</w:t>
      </w:r>
      <w:r w:rsidR="003612D6" w:rsidRPr="0071035F">
        <w:t>s that writing</w:t>
      </w:r>
      <w:r w:rsidR="00820F91" w:rsidRPr="0071035F">
        <w:t xml:space="preserve"> </w:t>
      </w:r>
      <w:r w:rsidR="00C01C61" w:rsidRPr="0071035F">
        <w:t xml:space="preserve">may </w:t>
      </w:r>
      <w:r w:rsidR="003612D6" w:rsidRPr="0071035F">
        <w:t>take</w:t>
      </w:r>
      <w:r w:rsidR="004C25D2" w:rsidRPr="0071035F">
        <w:t>.</w:t>
      </w:r>
      <w:r w:rsidR="003612D6" w:rsidRPr="0071035F">
        <w:t xml:space="preserve"> </w:t>
      </w:r>
    </w:p>
    <w:p w14:paraId="40360726" w14:textId="4B65A562" w:rsidR="002A095D" w:rsidRPr="002A095D" w:rsidRDefault="00D67D64" w:rsidP="004D4D84">
      <w:pPr>
        <w:spacing w:after="120" w:line="360" w:lineRule="auto"/>
        <w:jc w:val="both"/>
        <w:rPr>
          <w:b/>
        </w:rPr>
      </w:pPr>
      <w:r>
        <w:rPr>
          <w:b/>
        </w:rPr>
        <w:br w:type="column"/>
      </w:r>
      <w:r w:rsidR="00A94D87">
        <w:rPr>
          <w:b/>
        </w:rPr>
        <w:lastRenderedPageBreak/>
        <w:t>Works C</w:t>
      </w:r>
      <w:r w:rsidR="002A095D" w:rsidRPr="002A095D">
        <w:rPr>
          <w:b/>
        </w:rPr>
        <w:t>ited</w:t>
      </w:r>
    </w:p>
    <w:p w14:paraId="73BD16F1" w14:textId="77777777" w:rsidR="002A095D" w:rsidRDefault="002A095D" w:rsidP="004D4D84">
      <w:pPr>
        <w:spacing w:after="120" w:line="360" w:lineRule="auto"/>
        <w:jc w:val="both"/>
      </w:pPr>
    </w:p>
    <w:p w14:paraId="38260919" w14:textId="634210A7" w:rsidR="000D2246" w:rsidRDefault="000D2246" w:rsidP="004D4D84">
      <w:pPr>
        <w:spacing w:after="120" w:line="360" w:lineRule="auto"/>
        <w:ind w:left="720" w:hanging="720"/>
        <w:jc w:val="both"/>
      </w:pPr>
      <w:r>
        <w:t>Adams, Mark</w:t>
      </w:r>
      <w:r w:rsidR="00A94D87">
        <w:t>,</w:t>
      </w:r>
      <w:r>
        <w:t xml:space="preserve"> and Nicholas Thomas. </w:t>
      </w:r>
      <w:r w:rsidRPr="000D2246">
        <w:rPr>
          <w:i/>
        </w:rPr>
        <w:t>Cook</w:t>
      </w:r>
      <w:r w:rsidR="00F35C21">
        <w:rPr>
          <w:i/>
        </w:rPr>
        <w:t>’</w:t>
      </w:r>
      <w:r w:rsidRPr="000D2246">
        <w:rPr>
          <w:i/>
        </w:rPr>
        <w:t>s Sites: Revisiting History</w:t>
      </w:r>
      <w:r>
        <w:t xml:space="preserve">. Dunedin: Otago University Press and Centre for Cross-Cultural Research, Australian National University, 1999. </w:t>
      </w:r>
      <w:r w:rsidR="00A94D87">
        <w:t xml:space="preserve">Print. </w:t>
      </w:r>
    </w:p>
    <w:p w14:paraId="2637CD24" w14:textId="4F2B427C" w:rsidR="002A095D" w:rsidRDefault="002A095D" w:rsidP="00C20D50">
      <w:pPr>
        <w:spacing w:after="120" w:line="360" w:lineRule="auto"/>
        <w:ind w:left="720" w:hanging="720"/>
        <w:jc w:val="both"/>
      </w:pPr>
      <w:r>
        <w:t>Agnew, Vanessa.</w:t>
      </w:r>
      <w:r w:rsidR="000D2246">
        <w:t xml:space="preserve"> </w:t>
      </w:r>
      <w:r w:rsidR="00A94D87">
        <w:t>“</w:t>
      </w:r>
      <w:r w:rsidR="000D2246">
        <w:t>Introduction: What Is Re-enactment?</w:t>
      </w:r>
      <w:r w:rsidR="00A94D87">
        <w:t>”</w:t>
      </w:r>
      <w:r w:rsidR="000D2246">
        <w:t xml:space="preserve">, </w:t>
      </w:r>
      <w:r w:rsidR="000D2246" w:rsidRPr="000D2246">
        <w:rPr>
          <w:i/>
        </w:rPr>
        <w:t>Critical Inquiry</w:t>
      </w:r>
      <w:r w:rsidR="000D2246">
        <w:t xml:space="preserve"> 46</w:t>
      </w:r>
      <w:r w:rsidR="00C20D50">
        <w:t>.</w:t>
      </w:r>
      <w:r w:rsidR="000D2246">
        <w:t xml:space="preserve"> </w:t>
      </w:r>
      <w:r w:rsidR="00A16AF4">
        <w:t>3</w:t>
      </w:r>
      <w:r w:rsidR="000D2246">
        <w:t xml:space="preserve"> </w:t>
      </w:r>
      <w:r w:rsidR="00A16AF4">
        <w:t>(</w:t>
      </w:r>
      <w:r w:rsidR="000D2246">
        <w:t>Summer 2004</w:t>
      </w:r>
      <w:r w:rsidR="00A16AF4">
        <w:t>)</w:t>
      </w:r>
      <w:r w:rsidR="000D2246">
        <w:t>: 327-39.</w:t>
      </w:r>
      <w:r w:rsidR="00A94D87">
        <w:t xml:space="preserve"> Print. </w:t>
      </w:r>
    </w:p>
    <w:p w14:paraId="45C59560" w14:textId="574853E9" w:rsidR="00CF5BA6" w:rsidRDefault="00CF5BA6" w:rsidP="004D4D84">
      <w:pPr>
        <w:spacing w:after="120" w:line="360" w:lineRule="auto"/>
        <w:ind w:left="720" w:hanging="720"/>
        <w:jc w:val="both"/>
      </w:pPr>
      <w:r>
        <w:t xml:space="preserve">Barclay, Barry. </w:t>
      </w:r>
      <w:r w:rsidRPr="00CF5BA6">
        <w:rPr>
          <w:i/>
        </w:rPr>
        <w:t>Mana Tuturu: Maori Treasures &amp; Intellectual Property Rights</w:t>
      </w:r>
      <w:r>
        <w:t>. Auckland: Auckland University Press, 2005.</w:t>
      </w:r>
      <w:r w:rsidR="00A94D87">
        <w:t xml:space="preserve"> Print. </w:t>
      </w:r>
    </w:p>
    <w:p w14:paraId="48005FA9" w14:textId="1212B4AB" w:rsidR="000D2246" w:rsidRDefault="000D2246" w:rsidP="00A94D87">
      <w:pPr>
        <w:spacing w:after="120" w:line="360" w:lineRule="auto"/>
        <w:ind w:left="720" w:hanging="720"/>
        <w:jc w:val="both"/>
      </w:pPr>
      <w:r>
        <w:t xml:space="preserve">Barker, Mary Anne. </w:t>
      </w:r>
      <w:r w:rsidRPr="000D2246">
        <w:rPr>
          <w:i/>
        </w:rPr>
        <w:t>Station Life in New Zealand</w:t>
      </w:r>
      <w:r>
        <w:t>.</w:t>
      </w:r>
      <w:r w:rsidR="00A16AF4">
        <w:t xml:space="preserve"> London</w:t>
      </w:r>
      <w:r w:rsidR="00A94D87">
        <w:t>:</w:t>
      </w:r>
      <w:r w:rsidR="00A16AF4">
        <w:t xml:space="preserve"> </w:t>
      </w:r>
      <w:r w:rsidR="00A94D87">
        <w:t xml:space="preserve">Macmillan, </w:t>
      </w:r>
      <w:r w:rsidR="00A16AF4">
        <w:t>1870.</w:t>
      </w:r>
      <w:r w:rsidR="00CB5939">
        <w:t xml:space="preserve"> </w:t>
      </w:r>
      <w:r w:rsidR="00A94D87" w:rsidRPr="00A94D87">
        <w:rPr>
          <w:i/>
          <w:iCs/>
        </w:rPr>
        <w:t>New Zealand Electronic Text Collection/Te Pūhikotuhi o Aotearoa</w:t>
      </w:r>
      <w:r w:rsidR="00A94D87">
        <w:t xml:space="preserve">. </w:t>
      </w:r>
      <w:r w:rsidR="00090AB0">
        <w:t>&lt;</w:t>
      </w:r>
      <w:hyperlink r:id="rId10" w:history="1">
        <w:r w:rsidR="00090AB0" w:rsidRPr="001A5A3D">
          <w:rPr>
            <w:rStyle w:val="Hyperlink"/>
          </w:rPr>
          <w:t>http://nzetc.victoria.ac.nz/tm/scholarly/tei-BarLife.html</w:t>
        </w:r>
      </w:hyperlink>
      <w:r w:rsidR="00090AB0">
        <w:t xml:space="preserve"> &gt; </w:t>
      </w:r>
      <w:r w:rsidR="00A94D87">
        <w:t>Web. 21 January 2014</w:t>
      </w:r>
      <w:r w:rsidR="00CB5939">
        <w:t xml:space="preserve">. </w:t>
      </w:r>
    </w:p>
    <w:p w14:paraId="5162C3CA" w14:textId="58A2CEEA" w:rsidR="002A095D" w:rsidRDefault="002A095D" w:rsidP="004D4D84">
      <w:pPr>
        <w:spacing w:after="120" w:line="360" w:lineRule="auto"/>
        <w:ind w:left="720" w:hanging="720"/>
        <w:jc w:val="both"/>
      </w:pPr>
      <w:r>
        <w:t xml:space="preserve">Boswell, Anna. </w:t>
      </w:r>
      <w:r w:rsidR="00A94D87">
        <w:t>“</w:t>
      </w:r>
      <w:r>
        <w:t>Maning</w:t>
      </w:r>
      <w:r w:rsidR="00F35C21">
        <w:t>’</w:t>
      </w:r>
      <w:r>
        <w:t>s Little Tale</w:t>
      </w:r>
      <w:r w:rsidR="00A94D87">
        <w:t xml:space="preserve">.” </w:t>
      </w:r>
      <w:r w:rsidRPr="00A16AF4">
        <w:rPr>
          <w:i/>
        </w:rPr>
        <w:t>J</w:t>
      </w:r>
      <w:r w:rsidR="00A16AF4" w:rsidRPr="00A16AF4">
        <w:rPr>
          <w:i/>
        </w:rPr>
        <w:t xml:space="preserve">ournal of </w:t>
      </w:r>
      <w:r w:rsidRPr="00A16AF4">
        <w:rPr>
          <w:i/>
        </w:rPr>
        <w:t>N</w:t>
      </w:r>
      <w:r w:rsidR="00A16AF4" w:rsidRPr="00A16AF4">
        <w:rPr>
          <w:i/>
        </w:rPr>
        <w:t xml:space="preserve">ew </w:t>
      </w:r>
      <w:r w:rsidRPr="00A16AF4">
        <w:rPr>
          <w:i/>
        </w:rPr>
        <w:t>Z</w:t>
      </w:r>
      <w:r w:rsidR="00A16AF4" w:rsidRPr="00A16AF4">
        <w:rPr>
          <w:i/>
        </w:rPr>
        <w:t xml:space="preserve">ealand </w:t>
      </w:r>
      <w:r w:rsidRPr="00A16AF4">
        <w:rPr>
          <w:i/>
        </w:rPr>
        <w:t>L</w:t>
      </w:r>
      <w:r w:rsidR="00A16AF4" w:rsidRPr="00A16AF4">
        <w:rPr>
          <w:i/>
        </w:rPr>
        <w:t>iterature</w:t>
      </w:r>
      <w:r w:rsidR="00A16AF4">
        <w:t xml:space="preserve"> 31 (2013): 44-65.</w:t>
      </w:r>
      <w:r w:rsidR="00A94D87">
        <w:t xml:space="preserve"> Print. </w:t>
      </w:r>
    </w:p>
    <w:p w14:paraId="54FDFDB7" w14:textId="52B3FF62" w:rsidR="000D2246" w:rsidRDefault="000D2246" w:rsidP="00A94D87">
      <w:pPr>
        <w:spacing w:after="120" w:line="360" w:lineRule="auto"/>
        <w:ind w:left="720" w:hanging="720"/>
        <w:jc w:val="both"/>
      </w:pPr>
      <w:r>
        <w:t xml:space="preserve">Brown, Deidre. </w:t>
      </w:r>
      <w:r w:rsidR="00A94D87">
        <w:rPr>
          <w:i/>
        </w:rPr>
        <w:t>Tai Tokerau Whakairo Rākau: Northland Mā</w:t>
      </w:r>
      <w:r w:rsidRPr="000D2246">
        <w:rPr>
          <w:i/>
        </w:rPr>
        <w:t>ori Wood Carving</w:t>
      </w:r>
      <w:r>
        <w:t>. Auckland: Reed, 2003.</w:t>
      </w:r>
      <w:r w:rsidR="00A94D87">
        <w:t xml:space="preserve"> Print. </w:t>
      </w:r>
    </w:p>
    <w:p w14:paraId="2EFB2D73" w14:textId="0499689A" w:rsidR="000D2246" w:rsidRDefault="000D2246" w:rsidP="00A94D87">
      <w:pPr>
        <w:spacing w:after="120" w:line="360" w:lineRule="auto"/>
        <w:ind w:left="720" w:hanging="720"/>
        <w:jc w:val="both"/>
      </w:pPr>
      <w:r>
        <w:t xml:space="preserve">Butler, Samuel. </w:t>
      </w:r>
      <w:r w:rsidR="00A63A6F">
        <w:rPr>
          <w:i/>
        </w:rPr>
        <w:t>Erewhon,</w:t>
      </w:r>
      <w:r w:rsidRPr="00A16AF4">
        <w:rPr>
          <w:i/>
        </w:rPr>
        <w:t xml:space="preserve"> or Over the Range</w:t>
      </w:r>
      <w:r w:rsidR="00A16AF4">
        <w:t xml:space="preserve">. </w:t>
      </w:r>
      <w:r w:rsidR="00A94D87">
        <w:t xml:space="preserve">London: Trubner, 1870. Revised </w:t>
      </w:r>
      <w:r w:rsidR="00A16AF4">
        <w:t>1921</w:t>
      </w:r>
      <w:r w:rsidR="00A94D87">
        <w:t xml:space="preserve">. </w:t>
      </w:r>
      <w:r w:rsidR="00A16AF4">
        <w:t xml:space="preserve"> </w:t>
      </w:r>
      <w:r w:rsidR="00A94D87" w:rsidRPr="00A94D87">
        <w:rPr>
          <w:i/>
          <w:iCs/>
        </w:rPr>
        <w:t>New Zealand Electronic Text Collection/Te Pūhikotuhi o Aotearoa</w:t>
      </w:r>
      <w:r w:rsidR="00A94D87">
        <w:t xml:space="preserve">. </w:t>
      </w:r>
      <w:r w:rsidR="00090AB0">
        <w:t>&lt;</w:t>
      </w:r>
      <w:hyperlink r:id="rId11" w:history="1">
        <w:r w:rsidR="00090AB0" w:rsidRPr="0001191D">
          <w:rPr>
            <w:rStyle w:val="Hyperlink"/>
          </w:rPr>
          <w:t>http://nzetc.victoria.ac.nz/tm/scholarly/tei-ButErew.html</w:t>
        </w:r>
      </w:hyperlink>
      <w:r w:rsidR="00090AB0" w:rsidRPr="00090AB0">
        <w:rPr>
          <w:rStyle w:val="Hyperlink"/>
          <w:u w:val="none"/>
        </w:rPr>
        <w:t xml:space="preserve">&gt; </w:t>
      </w:r>
      <w:r w:rsidR="00A94D87">
        <w:t>Web. 2 January 2014</w:t>
      </w:r>
      <w:r w:rsidR="005656B2">
        <w:t xml:space="preserve">. </w:t>
      </w:r>
    </w:p>
    <w:p w14:paraId="750B51B1" w14:textId="7B96E2F7" w:rsidR="002A095D" w:rsidRDefault="00FA79AA" w:rsidP="00A94D87">
      <w:pPr>
        <w:spacing w:after="120" w:line="360" w:lineRule="auto"/>
        <w:ind w:left="720" w:hanging="720"/>
        <w:jc w:val="both"/>
      </w:pPr>
      <w:r>
        <w:t xml:space="preserve">Calder, Alex. </w:t>
      </w:r>
      <w:r w:rsidR="00A94D87">
        <w:t xml:space="preserve">“Introduction.” In </w:t>
      </w:r>
      <w:r w:rsidR="002A095D" w:rsidRPr="002A095D">
        <w:rPr>
          <w:i/>
        </w:rPr>
        <w:t>Old New Zealand and Other Writings</w:t>
      </w:r>
      <w:r w:rsidR="00A94D87">
        <w:t>. By F. E. Maning. Ed. Alex Calder</w:t>
      </w:r>
      <w:r w:rsidR="002A095D">
        <w:t xml:space="preserve">. London: Leicester </w:t>
      </w:r>
      <w:r w:rsidR="00A94D87">
        <w:t>UP</w:t>
      </w:r>
      <w:r w:rsidR="002A095D">
        <w:t>, 2001.</w:t>
      </w:r>
      <w:r w:rsidR="00A94D87">
        <w:t xml:space="preserve"> Print. </w:t>
      </w:r>
    </w:p>
    <w:p w14:paraId="4E49E6FD" w14:textId="13CCE091" w:rsidR="00FA79AA" w:rsidRDefault="00832FA7" w:rsidP="00A94D87">
      <w:pPr>
        <w:spacing w:after="120" w:line="360" w:lineRule="auto"/>
        <w:ind w:left="720" w:hanging="720"/>
        <w:jc w:val="both"/>
      </w:pPr>
      <w:r>
        <w:t>---</w:t>
      </w:r>
      <w:r w:rsidR="002A095D">
        <w:tab/>
      </w:r>
      <w:r w:rsidR="002A095D" w:rsidRPr="000D2246">
        <w:rPr>
          <w:i/>
        </w:rPr>
        <w:t>The Settler</w:t>
      </w:r>
      <w:r w:rsidR="00F35C21">
        <w:rPr>
          <w:i/>
        </w:rPr>
        <w:t>’</w:t>
      </w:r>
      <w:r w:rsidR="002A095D" w:rsidRPr="000D2246">
        <w:rPr>
          <w:i/>
        </w:rPr>
        <w:t>s Plot: How Stories Take Place in New Zealand</w:t>
      </w:r>
      <w:r w:rsidR="002A095D">
        <w:t xml:space="preserve">. Auckland: Auckland </w:t>
      </w:r>
      <w:r w:rsidR="00A94D87">
        <w:t>UP</w:t>
      </w:r>
      <w:r w:rsidR="002A095D">
        <w:t>, 2011.</w:t>
      </w:r>
      <w:r w:rsidR="00A94D87">
        <w:t xml:space="preserve"> Print. </w:t>
      </w:r>
    </w:p>
    <w:p w14:paraId="042F6323" w14:textId="36EFCF31" w:rsidR="00FA79AA" w:rsidRDefault="00832FA7" w:rsidP="00832FA7">
      <w:pPr>
        <w:spacing w:after="120" w:line="360" w:lineRule="auto"/>
        <w:ind w:left="720" w:hanging="720"/>
        <w:jc w:val="both"/>
      </w:pPr>
      <w:r>
        <w:t xml:space="preserve">---, </w:t>
      </w:r>
      <w:r w:rsidR="00FA79AA">
        <w:tab/>
      </w:r>
      <w:r>
        <w:t xml:space="preserve">ed. </w:t>
      </w:r>
      <w:r w:rsidR="00FA79AA">
        <w:t xml:space="preserve"> </w:t>
      </w:r>
      <w:r w:rsidR="00FA79AA" w:rsidRPr="00FA79AA">
        <w:rPr>
          <w:i/>
        </w:rPr>
        <w:t>The Writing of New Zealand</w:t>
      </w:r>
      <w:r w:rsidR="00FA79AA">
        <w:rPr>
          <w:i/>
        </w:rPr>
        <w:t>: Inventions and Identities</w:t>
      </w:r>
      <w:r w:rsidR="00FA79AA">
        <w:t xml:space="preserve">. Auckland: Reed, 1993.  </w:t>
      </w:r>
      <w:r>
        <w:t xml:space="preserve">Print. </w:t>
      </w:r>
    </w:p>
    <w:p w14:paraId="28FAE66C" w14:textId="19CF1F6A" w:rsidR="00C66CE1" w:rsidRDefault="00A63A6F" w:rsidP="00832FA7">
      <w:pPr>
        <w:spacing w:after="120" w:line="360" w:lineRule="auto"/>
        <w:ind w:left="720" w:hanging="720"/>
        <w:jc w:val="both"/>
      </w:pPr>
      <w:r>
        <w:t>Cha</w:t>
      </w:r>
      <w:r w:rsidR="00C66CE1">
        <w:t xml:space="preserve">mier, George. </w:t>
      </w:r>
      <w:r w:rsidR="00C66CE1" w:rsidRPr="00C66CE1">
        <w:rPr>
          <w:i/>
        </w:rPr>
        <w:t>Philosopher Dick</w:t>
      </w:r>
      <w:r w:rsidR="00C66CE1">
        <w:t xml:space="preserve">. </w:t>
      </w:r>
      <w:r w:rsidR="00334F2E">
        <w:t>London: T. Fisher Unwin,</w:t>
      </w:r>
      <w:r>
        <w:t xml:space="preserve"> </w:t>
      </w:r>
      <w:r w:rsidR="00334F2E">
        <w:t>1891</w:t>
      </w:r>
      <w:r w:rsidR="00C66CE1">
        <w:t>.</w:t>
      </w:r>
      <w:r w:rsidR="00832FA7">
        <w:t xml:space="preserve"> </w:t>
      </w:r>
      <w:r w:rsidR="00832FA7" w:rsidRPr="00A94D87">
        <w:rPr>
          <w:i/>
          <w:iCs/>
        </w:rPr>
        <w:t>New Zealand Electronic Text Collection/Te Pūhikotuhi o Aotearoa</w:t>
      </w:r>
      <w:r w:rsidR="00832FA7">
        <w:t xml:space="preserve">. </w:t>
      </w:r>
      <w:r w:rsidR="00090AB0">
        <w:lastRenderedPageBreak/>
        <w:t>&lt;</w:t>
      </w:r>
      <w:hyperlink r:id="rId12" w:history="1">
        <w:r w:rsidR="00090AB0" w:rsidRPr="001A5A3D">
          <w:rPr>
            <w:rStyle w:val="Hyperlink"/>
          </w:rPr>
          <w:t>http://nzetc.victoria.ac.nz//tm/scholarly/tei-ChaPhil.</w:t>
        </w:r>
        <w:r w:rsidR="00090AB0" w:rsidRPr="00090AB0">
          <w:rPr>
            <w:rStyle w:val="Hyperlink"/>
            <w:u w:val="none"/>
          </w:rPr>
          <w:t>html</w:t>
        </w:r>
      </w:hyperlink>
      <w:r w:rsidR="00090AB0">
        <w:rPr>
          <w:rStyle w:val="Hyperlink"/>
          <w:u w:val="none"/>
        </w:rPr>
        <w:t xml:space="preserve">&gt; </w:t>
      </w:r>
      <w:r w:rsidR="00832FA7" w:rsidRPr="00090AB0">
        <w:t>Web</w:t>
      </w:r>
      <w:r w:rsidR="00832FA7">
        <w:t xml:space="preserve">. </w:t>
      </w:r>
      <w:r>
        <w:t xml:space="preserve"> 21 Jan</w:t>
      </w:r>
      <w:r w:rsidR="00C20D50">
        <w:t>uary</w:t>
      </w:r>
      <w:r w:rsidR="00832FA7">
        <w:t xml:space="preserve">  2014</w:t>
      </w:r>
      <w:r>
        <w:t>.</w:t>
      </w:r>
    </w:p>
    <w:p w14:paraId="3C667342" w14:textId="696FD781" w:rsidR="005656B2" w:rsidRDefault="002A095D" w:rsidP="00C20D50">
      <w:pPr>
        <w:spacing w:after="120" w:line="360" w:lineRule="auto"/>
        <w:ind w:left="720" w:hanging="720"/>
        <w:jc w:val="both"/>
      </w:pPr>
      <w:r>
        <w:t xml:space="preserve">Colenso, William. </w:t>
      </w:r>
      <w:r w:rsidR="00C20D50">
        <w:t>“</w:t>
      </w:r>
      <w:r>
        <w:t>On the Maori Races of New Zealand</w:t>
      </w:r>
      <w:r w:rsidR="00C20D50">
        <w:t xml:space="preserve">.” </w:t>
      </w:r>
      <w:r>
        <w:t xml:space="preserve"> </w:t>
      </w:r>
      <w:r w:rsidRPr="00DC73F1">
        <w:rPr>
          <w:i/>
        </w:rPr>
        <w:t>Transactions of the Auckland Institute and Museum</w:t>
      </w:r>
      <w:r w:rsidR="00DC73F1">
        <w:t xml:space="preserve"> 1 (</w:t>
      </w:r>
      <w:r>
        <w:t>1868</w:t>
      </w:r>
      <w:r w:rsidR="00DC73F1">
        <w:t>):</w:t>
      </w:r>
      <w:r>
        <w:t xml:space="preserve"> 339-428.</w:t>
      </w:r>
      <w:r w:rsidR="00C20D50">
        <w:t xml:space="preserve"> </w:t>
      </w:r>
      <w:r w:rsidR="00C20D50" w:rsidRPr="00090AB0">
        <w:rPr>
          <w:i/>
          <w:iCs/>
        </w:rPr>
        <w:t>National Library of New Zealand/Te Puna Mātauranga o Aotearo</w:t>
      </w:r>
      <w:r w:rsidR="00C20D50">
        <w:t xml:space="preserve">a. </w:t>
      </w:r>
      <w:r w:rsidR="00090AB0">
        <w:t>&lt;</w:t>
      </w:r>
      <w:hyperlink r:id="rId13" w:history="1">
        <w:r w:rsidR="00090AB0" w:rsidRPr="001A5A3D">
          <w:rPr>
            <w:rStyle w:val="Hyperlink"/>
          </w:rPr>
          <w:t>http://nzetc.victoria.ac.nz//tm/scholarly/tei-ChaPhil.</w:t>
        </w:r>
        <w:r w:rsidR="00090AB0" w:rsidRPr="00090AB0">
          <w:rPr>
            <w:rStyle w:val="Hyperlink"/>
            <w:u w:val="none"/>
          </w:rPr>
          <w:t>html</w:t>
        </w:r>
      </w:hyperlink>
      <w:r w:rsidR="00090AB0">
        <w:rPr>
          <w:rStyle w:val="Hyperlink"/>
          <w:u w:val="none"/>
        </w:rPr>
        <w:t xml:space="preserve">&gt; </w:t>
      </w:r>
      <w:r w:rsidR="00C20D50" w:rsidRPr="00090AB0">
        <w:t>Web</w:t>
      </w:r>
      <w:r w:rsidR="00C20D50">
        <w:t xml:space="preserve">. </w:t>
      </w:r>
      <w:r>
        <w:t xml:space="preserve">  </w:t>
      </w:r>
      <w:r w:rsidR="00C20D50">
        <w:t>2 January 2014</w:t>
      </w:r>
      <w:r w:rsidR="000D2246">
        <w:t>.</w:t>
      </w:r>
    </w:p>
    <w:p w14:paraId="41608364" w14:textId="593F058E" w:rsidR="000D2246" w:rsidRPr="004B4B7E" w:rsidRDefault="000D2246" w:rsidP="00C20D50">
      <w:pPr>
        <w:spacing w:after="120" w:line="360" w:lineRule="auto"/>
        <w:ind w:left="720" w:hanging="720"/>
        <w:jc w:val="both"/>
      </w:pPr>
      <w:r w:rsidRPr="004B4B7E">
        <w:t>Domett, Alfred.</w:t>
      </w:r>
      <w:r w:rsidR="005656B2" w:rsidRPr="004B4B7E">
        <w:t xml:space="preserve"> </w:t>
      </w:r>
      <w:r w:rsidR="004B4B7E" w:rsidRPr="004B4B7E">
        <w:rPr>
          <w:i/>
        </w:rPr>
        <w:t>Ranolf and Amohia: A South-Sea Daydream</w:t>
      </w:r>
      <w:r w:rsidR="004B4B7E">
        <w:t>. London: Smith, Elder, 1872.</w:t>
      </w:r>
      <w:r w:rsidR="00C721EB">
        <w:t xml:space="preserve"> </w:t>
      </w:r>
      <w:r w:rsidR="00C20D50" w:rsidRPr="00A94D87">
        <w:rPr>
          <w:i/>
          <w:iCs/>
        </w:rPr>
        <w:t>New Zealand Electronic Text Collection/Te Pūhikotuhi o Aotearoa</w:t>
      </w:r>
      <w:r w:rsidR="00C20D50">
        <w:t xml:space="preserve">. </w:t>
      </w:r>
      <w:r w:rsidR="00090AB0">
        <w:t>&lt;</w:t>
      </w:r>
      <w:hyperlink r:id="rId14" w:history="1">
        <w:r w:rsidR="00090AB0" w:rsidRPr="001A5A3D">
          <w:rPr>
            <w:rStyle w:val="Hyperlink"/>
          </w:rPr>
          <w:t>http://nzetc.victoria.ac.nz//tm/scholarly/tei-DomRano.</w:t>
        </w:r>
        <w:r w:rsidR="00090AB0" w:rsidRPr="00090AB0">
          <w:rPr>
            <w:rStyle w:val="Hyperlink"/>
            <w:u w:val="none"/>
          </w:rPr>
          <w:t>html</w:t>
        </w:r>
      </w:hyperlink>
      <w:r w:rsidR="00090AB0">
        <w:rPr>
          <w:rStyle w:val="Hyperlink"/>
          <w:u w:val="none"/>
        </w:rPr>
        <w:t xml:space="preserve">&gt; </w:t>
      </w:r>
      <w:r w:rsidR="00C20D50" w:rsidRPr="00090AB0">
        <w:t>Web</w:t>
      </w:r>
      <w:r w:rsidR="00C20D50">
        <w:t>. 21 January 2014</w:t>
      </w:r>
      <w:r w:rsidR="00C721EB">
        <w:t>.</w:t>
      </w:r>
    </w:p>
    <w:p w14:paraId="2E9D7A0E" w14:textId="1214C79B" w:rsidR="00E34434" w:rsidRDefault="00E34434" w:rsidP="004D4D84">
      <w:pPr>
        <w:spacing w:after="120" w:line="360" w:lineRule="auto"/>
        <w:ind w:left="720" w:hanging="720"/>
        <w:jc w:val="both"/>
      </w:pPr>
      <w:r>
        <w:t xml:space="preserve">During, Simon. </w:t>
      </w:r>
      <w:r w:rsidR="00C20D50">
        <w:t>“</w:t>
      </w:r>
      <w:r>
        <w:t>What was the West?</w:t>
      </w:r>
      <w:r w:rsidR="00C20D50">
        <w:t xml:space="preserve">”.  </w:t>
      </w:r>
      <w:r w:rsidRPr="00FF1FDE">
        <w:rPr>
          <w:i/>
        </w:rPr>
        <w:t>Meanjin</w:t>
      </w:r>
      <w:r w:rsidR="00C20D50">
        <w:t xml:space="preserve"> 48.</w:t>
      </w:r>
      <w:r w:rsidR="00FF1FDE">
        <w:t xml:space="preserve"> 4 (1989): 759-76.</w:t>
      </w:r>
      <w:r w:rsidR="00C20D50">
        <w:t xml:space="preserve"> Print. </w:t>
      </w:r>
    </w:p>
    <w:p w14:paraId="6A60460C" w14:textId="16F35B48" w:rsidR="002A095D" w:rsidRDefault="000D2246" w:rsidP="00C20D50">
      <w:pPr>
        <w:spacing w:after="120" w:line="360" w:lineRule="auto"/>
        <w:ind w:left="720" w:hanging="720"/>
        <w:jc w:val="both"/>
      </w:pPr>
      <w:r>
        <w:t xml:space="preserve">Earle, Augustus. </w:t>
      </w:r>
      <w:r w:rsidRPr="000D2246">
        <w:rPr>
          <w:i/>
        </w:rPr>
        <w:t>A Narrative of a Nine Months</w:t>
      </w:r>
      <w:r w:rsidR="00F35C21">
        <w:rPr>
          <w:i/>
        </w:rPr>
        <w:t>’</w:t>
      </w:r>
      <w:r w:rsidRPr="000D2246">
        <w:rPr>
          <w:i/>
        </w:rPr>
        <w:t xml:space="preserve"> Residence in New Zealand in 1827</w:t>
      </w:r>
      <w:r w:rsidR="00C20D50">
        <w:t>. Ed.  E. H. McCormack</w:t>
      </w:r>
      <w:r w:rsidR="00C65152">
        <w:t>. Oxford: Clarendon Press, 1966.</w:t>
      </w:r>
      <w:r w:rsidR="00C721EB">
        <w:t xml:space="preserve"> </w:t>
      </w:r>
      <w:r w:rsidR="00C20D50" w:rsidRPr="00090AB0">
        <w:rPr>
          <w:i/>
          <w:iCs/>
        </w:rPr>
        <w:t>Project Gutenberg</w:t>
      </w:r>
      <w:r w:rsidR="00C20D50">
        <w:t>.</w:t>
      </w:r>
      <w:r w:rsidR="00090AB0">
        <w:t xml:space="preserve"> &lt;</w:t>
      </w:r>
      <w:hyperlink r:id="rId15" w:history="1">
        <w:r w:rsidR="00090AB0" w:rsidRPr="001A5A3D">
          <w:rPr>
            <w:rStyle w:val="Hyperlink"/>
          </w:rPr>
          <w:t>http://www.gutenberg.org/ebooks/11933</w:t>
        </w:r>
      </w:hyperlink>
      <w:r w:rsidR="00090AB0">
        <w:rPr>
          <w:rStyle w:val="Hyperlink"/>
          <w:u w:val="none"/>
        </w:rPr>
        <w:t>&gt;</w:t>
      </w:r>
      <w:r w:rsidR="00C20D50">
        <w:t xml:space="preserve"> Web. 21 January 2014</w:t>
      </w:r>
      <w:r w:rsidR="00C721EB">
        <w:t>.</w:t>
      </w:r>
    </w:p>
    <w:p w14:paraId="0A6C27D5" w14:textId="09E9002E" w:rsidR="00E34434" w:rsidRDefault="00D96BA6" w:rsidP="00FF45BB">
      <w:pPr>
        <w:spacing w:after="120" w:line="360" w:lineRule="auto"/>
        <w:ind w:left="720" w:hanging="720"/>
        <w:jc w:val="both"/>
      </w:pPr>
      <w:r>
        <w:t xml:space="preserve">Forster, George </w:t>
      </w:r>
      <w:r w:rsidRPr="00672F04">
        <w:rPr>
          <w:i/>
        </w:rPr>
        <w:t>A Voyage Round the World</w:t>
      </w:r>
      <w:r>
        <w:t>,</w:t>
      </w:r>
      <w:r w:rsidRPr="00D96BA6">
        <w:rPr>
          <w:i/>
        </w:rPr>
        <w:t xml:space="preserve"> Volume 1</w:t>
      </w:r>
      <w:r w:rsidR="00FF45BB">
        <w:t xml:space="preserve">. Ed. </w:t>
      </w:r>
      <w:r>
        <w:t>Nic</w:t>
      </w:r>
      <w:r w:rsidR="00FF45BB">
        <w:t xml:space="preserve">holas Thomas and Oliver Berghof. </w:t>
      </w:r>
      <w:r>
        <w:t>Honolulu: University of Hawai</w:t>
      </w:r>
      <w:r w:rsidR="00FF45BB">
        <w:t>‘</w:t>
      </w:r>
      <w:r>
        <w:t>i Press, 2000.</w:t>
      </w:r>
      <w:r w:rsidR="00C721EB">
        <w:t xml:space="preserve"> </w:t>
      </w:r>
      <w:r w:rsidR="00FF45BB" w:rsidRPr="00FF45BB">
        <w:rPr>
          <w:i/>
          <w:iCs/>
        </w:rPr>
        <w:t>Project Muse</w:t>
      </w:r>
      <w:r w:rsidR="00FF45BB">
        <w:t xml:space="preserve">. </w:t>
      </w:r>
      <w:r w:rsidR="00090AB0">
        <w:t>&lt;</w:t>
      </w:r>
      <w:hyperlink r:id="rId16" w:history="1">
        <w:r w:rsidR="00090AB0" w:rsidRPr="001A5A3D">
          <w:rPr>
            <w:rStyle w:val="Hyperlink"/>
          </w:rPr>
          <w:t>http://muse.jhu.edu/books/9780824861308/</w:t>
        </w:r>
      </w:hyperlink>
      <w:r w:rsidR="00090AB0">
        <w:rPr>
          <w:rStyle w:val="Hyperlink"/>
          <w:u w:val="none"/>
        </w:rPr>
        <w:t>&gt;</w:t>
      </w:r>
      <w:r w:rsidR="00FF45BB">
        <w:t>Web.  21 January 2014</w:t>
      </w:r>
      <w:r w:rsidR="00C721EB">
        <w:t>.</w:t>
      </w:r>
    </w:p>
    <w:p w14:paraId="7240D850" w14:textId="34FC7F11" w:rsidR="00E121F9" w:rsidRDefault="00E121F9" w:rsidP="00FF45BB">
      <w:pPr>
        <w:spacing w:after="120" w:line="360" w:lineRule="auto"/>
        <w:ind w:left="720" w:hanging="720"/>
        <w:jc w:val="both"/>
      </w:pPr>
      <w:r>
        <w:t xml:space="preserve">Gibbons, Peter. </w:t>
      </w:r>
      <w:r w:rsidR="00FF45BB">
        <w:t>“</w:t>
      </w:r>
      <w:r>
        <w:t>Non-fiction</w:t>
      </w:r>
      <w:r w:rsidR="00FF45BB">
        <w:t xml:space="preserve">.” </w:t>
      </w:r>
      <w:r w:rsidRPr="00E121F9">
        <w:rPr>
          <w:i/>
        </w:rPr>
        <w:t>The Oxford History of New Zealand Literature in English</w:t>
      </w:r>
      <w:r w:rsidR="00FF45BB">
        <w:rPr>
          <w:i/>
        </w:rPr>
        <w:t xml:space="preserve">. </w:t>
      </w:r>
      <w:r w:rsidRPr="00E121F9">
        <w:rPr>
          <w:i/>
        </w:rPr>
        <w:t>Second Editio</w:t>
      </w:r>
      <w:r w:rsidR="00FF45BB">
        <w:rPr>
          <w:i/>
        </w:rPr>
        <w:t>n</w:t>
      </w:r>
      <w:r w:rsidR="00FF45BB">
        <w:rPr>
          <w:iCs/>
        </w:rPr>
        <w:t xml:space="preserve">. Ed. </w:t>
      </w:r>
      <w:r>
        <w:t xml:space="preserve"> Terry Sturm</w:t>
      </w:r>
      <w:r w:rsidR="00FF45BB">
        <w:t xml:space="preserve">. </w:t>
      </w:r>
      <w:r>
        <w:t xml:space="preserve">Oxford: Oxford </w:t>
      </w:r>
      <w:r w:rsidR="00FF45BB">
        <w:t>UP, 1998</w:t>
      </w:r>
      <w:r w:rsidR="00DC73F1">
        <w:t>. 31-118</w:t>
      </w:r>
      <w:r>
        <w:t>.</w:t>
      </w:r>
      <w:r w:rsidR="00FF45BB">
        <w:t xml:space="preserve"> Print. </w:t>
      </w:r>
    </w:p>
    <w:p w14:paraId="107C1F8C" w14:textId="426C3F99" w:rsidR="00A60E83" w:rsidRDefault="00A60E83" w:rsidP="00FF45BB">
      <w:pPr>
        <w:spacing w:after="120" w:line="360" w:lineRule="auto"/>
        <w:ind w:left="720" w:hanging="720"/>
        <w:jc w:val="both"/>
      </w:pPr>
      <w:r>
        <w:t xml:space="preserve">Grey, George. </w:t>
      </w:r>
      <w:r w:rsidRPr="00A60E83">
        <w:rPr>
          <w:i/>
        </w:rPr>
        <w:t>Polynesian Mythology</w:t>
      </w:r>
      <w:r w:rsidR="000800F3">
        <w:rPr>
          <w:i/>
        </w:rPr>
        <w:t xml:space="preserve"> and Ancient Traditional History of the New Zealand Race, as Furnished by their Priests and Chiefs</w:t>
      </w:r>
      <w:r>
        <w:t>.</w:t>
      </w:r>
      <w:r w:rsidR="000800F3">
        <w:t xml:space="preserve"> London: John Murray, 1855. </w:t>
      </w:r>
      <w:r w:rsidR="00FF45BB" w:rsidRPr="00A94D87">
        <w:rPr>
          <w:i/>
          <w:iCs/>
        </w:rPr>
        <w:t>New Zealand Electronic Text Collection/Te Pūhikotuhi o Aotearoa</w:t>
      </w:r>
      <w:r w:rsidR="00FF45BB">
        <w:t xml:space="preserve">. </w:t>
      </w:r>
      <w:r w:rsidR="00090AB0">
        <w:t>&lt;</w:t>
      </w:r>
      <w:hyperlink r:id="rId17" w:history="1">
        <w:r w:rsidR="00090AB0" w:rsidRPr="00F93395">
          <w:rPr>
            <w:rStyle w:val="Hyperlink"/>
          </w:rPr>
          <w:t>http://nzetc.victoria.ac.nz/tm/scholarly/tei-GrePoly.html</w:t>
        </w:r>
      </w:hyperlink>
      <w:r w:rsidR="00090AB0">
        <w:rPr>
          <w:rStyle w:val="Hyperlink"/>
          <w:u w:val="none"/>
        </w:rPr>
        <w:t>&gt;</w:t>
      </w:r>
      <w:r w:rsidR="00090AB0">
        <w:t xml:space="preserve"> </w:t>
      </w:r>
      <w:r w:rsidR="00FF45BB">
        <w:t>Web. 29 April 2014</w:t>
      </w:r>
      <w:r w:rsidR="000800F3">
        <w:t>.</w:t>
      </w:r>
    </w:p>
    <w:p w14:paraId="7FBAFC15" w14:textId="5BE37AEE" w:rsidR="002F26C7" w:rsidRDefault="00FF45BB" w:rsidP="00FF45BB">
      <w:pPr>
        <w:spacing w:after="120" w:line="360" w:lineRule="auto"/>
        <w:ind w:left="720" w:hanging="720"/>
        <w:jc w:val="both"/>
      </w:pPr>
      <w:r>
        <w:t>Hamilton, Scott and Paul Janman.</w:t>
      </w:r>
      <w:r w:rsidR="002F26C7">
        <w:t xml:space="preserve"> </w:t>
      </w:r>
      <w:r w:rsidR="002F26C7" w:rsidRPr="002F26C7">
        <w:rPr>
          <w:i/>
        </w:rPr>
        <w:t>The Great South Road in Twenty Steps</w:t>
      </w:r>
      <w:r w:rsidR="002F26C7">
        <w:t>.</w:t>
      </w:r>
      <w:r w:rsidR="00DA1424">
        <w:t xml:space="preserve"> </w:t>
      </w:r>
      <w:r w:rsidRPr="00FF45BB">
        <w:rPr>
          <w:i/>
          <w:iCs/>
        </w:rPr>
        <w:t>Public Films</w:t>
      </w:r>
      <w:r>
        <w:t xml:space="preserve">. </w:t>
      </w:r>
      <w:r w:rsidR="00090AB0">
        <w:t>&lt;</w:t>
      </w:r>
      <w:hyperlink r:id="rId18" w:history="1">
        <w:r w:rsidR="00090AB0" w:rsidRPr="00691706">
          <w:rPr>
            <w:rStyle w:val="Hyperlink"/>
          </w:rPr>
          <w:t>http://www.publicfilms.co.nz/?page_id=</w:t>
        </w:r>
        <w:r w:rsidR="00090AB0" w:rsidRPr="00090AB0">
          <w:rPr>
            <w:rStyle w:val="Hyperlink"/>
            <w:u w:val="none"/>
          </w:rPr>
          <w:t>30</w:t>
        </w:r>
      </w:hyperlink>
      <w:r w:rsidR="00090AB0">
        <w:rPr>
          <w:rStyle w:val="Hyperlink"/>
          <w:u w:val="none"/>
        </w:rPr>
        <w:t xml:space="preserve">&gt; </w:t>
      </w:r>
      <w:r w:rsidRPr="00090AB0">
        <w:t>Web</w:t>
      </w:r>
      <w:r>
        <w:t>. 2 January 2014</w:t>
      </w:r>
      <w:r w:rsidR="002F26C7">
        <w:t>.</w:t>
      </w:r>
    </w:p>
    <w:p w14:paraId="3CB76F45" w14:textId="3A0939DB" w:rsidR="00FF1FDE" w:rsidRDefault="00FF1FDE" w:rsidP="00FF45BB">
      <w:pPr>
        <w:spacing w:after="120" w:line="360" w:lineRule="auto"/>
        <w:ind w:left="720" w:hanging="720"/>
        <w:jc w:val="both"/>
      </w:pPr>
      <w:r>
        <w:t xml:space="preserve">Hardy, Linda. </w:t>
      </w:r>
      <w:r w:rsidR="00FF45BB" w:rsidRPr="00FF45BB">
        <w:t>“</w:t>
      </w:r>
      <w:r w:rsidRPr="00FF45BB">
        <w:t>Natural Occupanc</w:t>
      </w:r>
      <w:r w:rsidR="00FF45BB" w:rsidRPr="00FF45BB">
        <w:t>y.</w:t>
      </w:r>
      <w:r w:rsidR="00FF45BB">
        <w:t>”</w:t>
      </w:r>
      <w:r w:rsidRPr="00FF45BB">
        <w:t xml:space="preserve"> </w:t>
      </w:r>
      <w:r w:rsidR="00FF45BB">
        <w:t xml:space="preserve">In </w:t>
      </w:r>
      <w:r w:rsidRPr="00FF45BB">
        <w:rPr>
          <w:i/>
        </w:rPr>
        <w:t>Asian and Pacific Inscriptions: Identities, Ethnicities, Nationalities</w:t>
      </w:r>
      <w:r w:rsidR="00FF45BB">
        <w:t xml:space="preserve">. Ed. </w:t>
      </w:r>
      <w:r w:rsidRPr="00FF45BB">
        <w:t xml:space="preserve"> Suvendrini Perera</w:t>
      </w:r>
      <w:r w:rsidR="00FF45BB">
        <w:t xml:space="preserve">. </w:t>
      </w:r>
      <w:r>
        <w:t>Bundoora</w:t>
      </w:r>
      <w:r w:rsidRPr="00FF1FDE">
        <w:t>: La Trobe U</w:t>
      </w:r>
      <w:r w:rsidR="00FF45BB">
        <w:t>P, 1995</w:t>
      </w:r>
      <w:r>
        <w:t xml:space="preserve">. </w:t>
      </w:r>
      <w:r w:rsidRPr="00FF1FDE">
        <w:t>213-27.</w:t>
      </w:r>
      <w:r w:rsidR="00FF45BB">
        <w:t xml:space="preserve"> Print. </w:t>
      </w:r>
    </w:p>
    <w:p w14:paraId="64348DCB" w14:textId="5723E534" w:rsidR="00E34434" w:rsidRDefault="00E34434" w:rsidP="00FF45BB">
      <w:pPr>
        <w:spacing w:after="120" w:line="360" w:lineRule="auto"/>
        <w:ind w:left="720" w:hanging="720"/>
        <w:jc w:val="both"/>
      </w:pPr>
      <w:r>
        <w:lastRenderedPageBreak/>
        <w:t xml:space="preserve">Lamb, Jonathan. </w:t>
      </w:r>
      <w:r w:rsidRPr="00E34434">
        <w:rPr>
          <w:i/>
        </w:rPr>
        <w:t>Preserving the Self in the South Seas</w:t>
      </w:r>
      <w:r w:rsidR="00DC73F1">
        <w:rPr>
          <w:i/>
        </w:rPr>
        <w:t>,</w:t>
      </w:r>
      <w:r w:rsidRPr="00E34434">
        <w:rPr>
          <w:i/>
        </w:rPr>
        <w:t xml:space="preserve"> 1680-1840</w:t>
      </w:r>
      <w:r>
        <w:t>.</w:t>
      </w:r>
      <w:r w:rsidR="00DC73F1">
        <w:t xml:space="preserve"> Chicago: U of Chicago P, 2001. </w:t>
      </w:r>
      <w:r w:rsidR="00FF45BB">
        <w:t xml:space="preserve">Print. </w:t>
      </w:r>
    </w:p>
    <w:p w14:paraId="4F309BE2" w14:textId="46A61DD4" w:rsidR="00E34434" w:rsidRDefault="00FF45BB" w:rsidP="00FF45BB">
      <w:pPr>
        <w:spacing w:after="120" w:line="360" w:lineRule="auto"/>
        <w:ind w:left="720" w:hanging="720"/>
        <w:jc w:val="both"/>
      </w:pPr>
      <w:r>
        <w:t>---</w:t>
      </w:r>
      <w:r w:rsidR="00E34434">
        <w:tab/>
      </w:r>
      <w:r>
        <w:t>“The Idea of Utopia in the European S</w:t>
      </w:r>
      <w:r w:rsidR="00E34434">
        <w:t>ettlement of New Zealand</w:t>
      </w:r>
      <w:r w:rsidR="00F35C21">
        <w:t>’</w:t>
      </w:r>
      <w:r>
        <w:t>. In</w:t>
      </w:r>
      <w:r w:rsidR="00E34434">
        <w:t xml:space="preserve"> </w:t>
      </w:r>
      <w:r w:rsidR="00E34434" w:rsidRPr="00E34434">
        <w:rPr>
          <w:i/>
        </w:rPr>
        <w:t>Quicksands: Foundational Histories in Australia and Aotearoa New Zealand</w:t>
      </w:r>
      <w:r>
        <w:t xml:space="preserve">. Ed. </w:t>
      </w:r>
      <w:r w:rsidR="00E34434">
        <w:t xml:space="preserve"> Klaus Neumann, Nicholas T</w:t>
      </w:r>
      <w:r>
        <w:t>homas and Hilary Ericksen</w:t>
      </w:r>
      <w:r w:rsidR="00E34434">
        <w:t xml:space="preserve">. Sydney: U of New South </w:t>
      </w:r>
      <w:r>
        <w:t xml:space="preserve">Wales P, 1999. </w:t>
      </w:r>
      <w:r w:rsidR="00DC73F1">
        <w:t xml:space="preserve"> 79-97.</w:t>
      </w:r>
      <w:r w:rsidR="00E34434">
        <w:t xml:space="preserve"> </w:t>
      </w:r>
      <w:r>
        <w:t xml:space="preserve">Print. </w:t>
      </w:r>
    </w:p>
    <w:p w14:paraId="16D8FF9A" w14:textId="7789DE75" w:rsidR="00E34434" w:rsidRPr="004B4B7E" w:rsidRDefault="00E34434" w:rsidP="00FF45BB">
      <w:pPr>
        <w:spacing w:after="120" w:line="360" w:lineRule="auto"/>
        <w:ind w:left="720" w:hanging="720"/>
        <w:jc w:val="both"/>
      </w:pPr>
      <w:r w:rsidRPr="004B4B7E">
        <w:t>Mackay, Jessie.</w:t>
      </w:r>
      <w:r w:rsidR="004B4B7E">
        <w:t xml:space="preserve"> </w:t>
      </w:r>
      <w:r w:rsidR="004B4B7E" w:rsidRPr="004B4B7E">
        <w:rPr>
          <w:i/>
        </w:rPr>
        <w:t>The Spirit of the Rangatira and Other Ballads</w:t>
      </w:r>
      <w:r w:rsidR="004B4B7E">
        <w:t>. Melbourne: Robertson, 1889.</w:t>
      </w:r>
      <w:r w:rsidR="00FF45BB">
        <w:t xml:space="preserve"> Print. </w:t>
      </w:r>
      <w:r w:rsidR="00C721EB">
        <w:t xml:space="preserve"> </w:t>
      </w:r>
      <w:r w:rsidR="007D36ED">
        <w:t xml:space="preserve">Selected poems </w:t>
      </w:r>
      <w:r w:rsidR="00FF45BB">
        <w:t xml:space="preserve">are </w:t>
      </w:r>
      <w:r w:rsidR="007D36ED">
        <w:t xml:space="preserve">available at </w:t>
      </w:r>
      <w:r w:rsidR="00FF45BB" w:rsidRPr="00FF45BB">
        <w:rPr>
          <w:i/>
          <w:iCs/>
        </w:rPr>
        <w:t>Poemhunter.com</w:t>
      </w:r>
      <w:r w:rsidR="00FF45BB">
        <w:t xml:space="preserve"> &lt;</w:t>
      </w:r>
      <w:hyperlink r:id="rId19" w:history="1">
        <w:r w:rsidR="007D36ED" w:rsidRPr="001A5A3D">
          <w:rPr>
            <w:rStyle w:val="Hyperlink"/>
          </w:rPr>
          <w:t>http://www.poemhunter.com/jessie-mackay/</w:t>
        </w:r>
      </w:hyperlink>
      <w:r w:rsidR="00FF45BB">
        <w:rPr>
          <w:rStyle w:val="Hyperlink"/>
          <w:u w:val="none"/>
        </w:rPr>
        <w:t xml:space="preserve">&gt; </w:t>
      </w:r>
      <w:r w:rsidR="00FF45BB" w:rsidRPr="00FF45BB">
        <w:rPr>
          <w:rStyle w:val="Hyperlink"/>
          <w:color w:val="auto"/>
          <w:u w:val="none"/>
        </w:rPr>
        <w:t>Web.</w:t>
      </w:r>
      <w:r w:rsidR="00FF45BB">
        <w:t xml:space="preserve"> 21 January 2014</w:t>
      </w:r>
      <w:r w:rsidR="007D36ED">
        <w:t>.</w:t>
      </w:r>
    </w:p>
    <w:p w14:paraId="1DD269E6" w14:textId="6CD1AD59" w:rsidR="00D96BA6" w:rsidRDefault="000D2246" w:rsidP="00FF45BB">
      <w:pPr>
        <w:spacing w:after="120" w:line="360" w:lineRule="auto"/>
        <w:ind w:left="720" w:hanging="720"/>
        <w:jc w:val="both"/>
      </w:pPr>
      <w:r>
        <w:t xml:space="preserve">Maning, F. E. </w:t>
      </w:r>
      <w:r w:rsidRPr="000D2246">
        <w:rPr>
          <w:i/>
        </w:rPr>
        <w:t>Old New Zealand and Other Writings</w:t>
      </w:r>
      <w:r w:rsidR="00FF45BB">
        <w:t xml:space="preserve">. Ed. </w:t>
      </w:r>
      <w:r w:rsidR="00B42E5E">
        <w:t xml:space="preserve"> </w:t>
      </w:r>
      <w:r w:rsidR="00FF45BB">
        <w:t xml:space="preserve">Alex Calder. </w:t>
      </w:r>
      <w:r w:rsidR="00D96BA6">
        <w:t>London: Leicester University Press, 2001.</w:t>
      </w:r>
      <w:r w:rsidR="00FF45BB">
        <w:t xml:space="preserve"> Original 1863</w:t>
      </w:r>
      <w:r w:rsidR="00334F2E">
        <w:t xml:space="preserve"> edition available at </w:t>
      </w:r>
      <w:r w:rsidR="00090AB0">
        <w:t xml:space="preserve"> </w:t>
      </w:r>
      <w:r w:rsidR="00FF45BB" w:rsidRPr="00A94D87">
        <w:rPr>
          <w:i/>
          <w:iCs/>
        </w:rPr>
        <w:t>New Zealand Electronic Text Collection/Te Pūhikotuhi o Aotearoa</w:t>
      </w:r>
      <w:r w:rsidR="00FF45BB">
        <w:t xml:space="preserve">. </w:t>
      </w:r>
      <w:r w:rsidR="00090AB0">
        <w:t>&lt;</w:t>
      </w:r>
      <w:hyperlink r:id="rId20" w:history="1">
        <w:r w:rsidR="00090AB0" w:rsidRPr="001A5A3D">
          <w:rPr>
            <w:rStyle w:val="Hyperlink"/>
          </w:rPr>
          <w:t>http://nzetc.victoria.ac.nz//tm/scholarly/tei-ManPake.</w:t>
        </w:r>
        <w:r w:rsidR="00090AB0" w:rsidRPr="00090AB0">
          <w:rPr>
            <w:rStyle w:val="Hyperlink"/>
            <w:u w:val="none"/>
          </w:rPr>
          <w:t>html</w:t>
        </w:r>
      </w:hyperlink>
      <w:r w:rsidR="00090AB0">
        <w:rPr>
          <w:rStyle w:val="Hyperlink"/>
          <w:u w:val="none"/>
        </w:rPr>
        <w:t xml:space="preserve">&gt; </w:t>
      </w:r>
      <w:r w:rsidR="00FF45BB" w:rsidRPr="00090AB0">
        <w:t>Web</w:t>
      </w:r>
      <w:r w:rsidR="00FF45BB">
        <w:t xml:space="preserve">. </w:t>
      </w:r>
      <w:r w:rsidR="00334F2E">
        <w:t>21 January 2014].</w:t>
      </w:r>
      <w:r w:rsidR="00D96BA6">
        <w:t xml:space="preserve"> </w:t>
      </w:r>
    </w:p>
    <w:p w14:paraId="2C3563D0" w14:textId="18DA36B5" w:rsidR="00D96BA6" w:rsidRDefault="00D96BA6" w:rsidP="00227875">
      <w:pPr>
        <w:spacing w:after="120" w:line="360" w:lineRule="auto"/>
        <w:ind w:left="720" w:hanging="720"/>
        <w:jc w:val="both"/>
      </w:pPr>
      <w:r>
        <w:t xml:space="preserve">Marsden, Samuel. </w:t>
      </w:r>
      <w:r w:rsidRPr="00D96BA6">
        <w:rPr>
          <w:i/>
        </w:rPr>
        <w:t>The L</w:t>
      </w:r>
      <w:r w:rsidR="000D2246" w:rsidRPr="00D96BA6">
        <w:rPr>
          <w:i/>
        </w:rPr>
        <w:t>etters and Journals</w:t>
      </w:r>
      <w:r w:rsidRPr="00D96BA6">
        <w:rPr>
          <w:i/>
        </w:rPr>
        <w:t xml:space="preserve"> of Samuel Marsden</w:t>
      </w:r>
      <w:r w:rsidR="00FF45BB">
        <w:t xml:space="preserve">. Ed. </w:t>
      </w:r>
      <w:r>
        <w:t xml:space="preserve"> John Rawson Elder </w:t>
      </w:r>
      <w:r w:rsidR="00227875">
        <w:t>Dunedin: Coull</w:t>
      </w:r>
      <w:r>
        <w:t xml:space="preserve"> Somerville Wilkie and A. H. Reed, 1932.</w:t>
      </w:r>
      <w:r w:rsidR="00334F2E">
        <w:t xml:space="preserve"> </w:t>
      </w:r>
      <w:r w:rsidR="00227875" w:rsidRPr="00227875">
        <w:rPr>
          <w:i/>
          <w:iCs/>
        </w:rPr>
        <w:t>Early New Zealand Books</w:t>
      </w:r>
      <w:r w:rsidR="00227875">
        <w:t>.</w:t>
      </w:r>
      <w:r w:rsidR="00090AB0">
        <w:t xml:space="preserve"> &lt;</w:t>
      </w:r>
      <w:hyperlink r:id="rId21" w:history="1">
        <w:r w:rsidR="00090AB0" w:rsidRPr="001A5A3D">
          <w:rPr>
            <w:rStyle w:val="Hyperlink"/>
          </w:rPr>
          <w:t>http://www.enzb.auckland.ac.nz/document?wid=1057&amp;page=1&amp;action=null</w:t>
        </w:r>
      </w:hyperlink>
      <w:r w:rsidR="00090AB0">
        <w:rPr>
          <w:rStyle w:val="Hyperlink"/>
          <w:u w:val="none"/>
        </w:rPr>
        <w:t>&gt;</w:t>
      </w:r>
      <w:r w:rsidR="00090AB0">
        <w:t xml:space="preserve"> </w:t>
      </w:r>
      <w:r w:rsidR="00227875">
        <w:t>University of Auckland. Web. 21 January 2014</w:t>
      </w:r>
      <w:r w:rsidR="00334F2E">
        <w:t>.</w:t>
      </w:r>
    </w:p>
    <w:p w14:paraId="1742F270" w14:textId="542263F1" w:rsidR="00FA479C" w:rsidRDefault="00FA479C" w:rsidP="004D4D84">
      <w:pPr>
        <w:spacing w:after="120" w:line="360" w:lineRule="auto"/>
        <w:ind w:left="720" w:hanging="720"/>
        <w:jc w:val="both"/>
      </w:pPr>
      <w:r>
        <w:t xml:space="preserve">Mikaere, Ani. </w:t>
      </w:r>
      <w:r w:rsidR="00227875">
        <w:rPr>
          <w:i/>
        </w:rPr>
        <w:t>Colonising Myths, Mā</w:t>
      </w:r>
      <w:r w:rsidRPr="00FA479C">
        <w:rPr>
          <w:i/>
        </w:rPr>
        <w:t>ori Realities: He Rukuruku Whakaaro</w:t>
      </w:r>
      <w:r>
        <w:t>. Wellington: Huia, 2011.</w:t>
      </w:r>
      <w:r w:rsidR="00227875">
        <w:t xml:space="preserve"> Print. </w:t>
      </w:r>
    </w:p>
    <w:p w14:paraId="7E5B7E49" w14:textId="4660EDDE" w:rsidR="00E34434" w:rsidRDefault="00E34434" w:rsidP="004D4D84">
      <w:pPr>
        <w:spacing w:after="120" w:line="360" w:lineRule="auto"/>
        <w:ind w:left="720" w:hanging="720"/>
        <w:jc w:val="both"/>
      </w:pPr>
      <w:r>
        <w:t>Murray-Oliver, Anthony.</w:t>
      </w:r>
      <w:r w:rsidR="00D96BA6">
        <w:t xml:space="preserve"> </w:t>
      </w:r>
      <w:r w:rsidR="00D96BA6" w:rsidRPr="00D96BA6">
        <w:rPr>
          <w:i/>
        </w:rPr>
        <w:t>Augustus Earle in New Zealand</w:t>
      </w:r>
      <w:r w:rsidR="00D96BA6">
        <w:t>. Christchurch: Whitcombe &amp; Tombs, 1968.</w:t>
      </w:r>
      <w:r w:rsidR="00227875">
        <w:t xml:space="preserve"> Print. </w:t>
      </w:r>
    </w:p>
    <w:p w14:paraId="1708C14A" w14:textId="28D12782" w:rsidR="000D2246" w:rsidRPr="00672F04" w:rsidRDefault="00FF1FDE" w:rsidP="004D4D84">
      <w:pPr>
        <w:spacing w:after="120" w:line="360" w:lineRule="auto"/>
        <w:ind w:left="720" w:hanging="720"/>
        <w:jc w:val="both"/>
      </w:pPr>
      <w:r>
        <w:t>Ranciè</w:t>
      </w:r>
      <w:r w:rsidR="000D2246">
        <w:t xml:space="preserve">re, Jacques. </w:t>
      </w:r>
      <w:r w:rsidR="000D2246" w:rsidRPr="00E34434">
        <w:rPr>
          <w:i/>
        </w:rPr>
        <w:t>The Politics of Aesthetics</w:t>
      </w:r>
      <w:r w:rsidR="005656B2" w:rsidRPr="00FF1FDE">
        <w:rPr>
          <w:i/>
        </w:rPr>
        <w:t>: The Distribution of the Sensible</w:t>
      </w:r>
      <w:r w:rsidR="005656B2">
        <w:t xml:space="preserve">, Gabriel </w:t>
      </w:r>
      <w:r w:rsidR="00227875">
        <w:t xml:space="preserve">Rockhill, ed. and trans. </w:t>
      </w:r>
      <w:r w:rsidR="005656B2" w:rsidRPr="00672F04">
        <w:t xml:space="preserve"> London: Bloomsbury, </w:t>
      </w:r>
      <w:r w:rsidRPr="00672F04">
        <w:t>2013.</w:t>
      </w:r>
      <w:r w:rsidR="00227875">
        <w:t xml:space="preserve"> Print. </w:t>
      </w:r>
    </w:p>
    <w:p w14:paraId="45EBF6A5" w14:textId="04E0371D" w:rsidR="00C65152" w:rsidRDefault="00C65152" w:rsidP="00227875">
      <w:pPr>
        <w:spacing w:after="120" w:line="360" w:lineRule="auto"/>
        <w:ind w:left="720" w:hanging="720"/>
      </w:pPr>
      <w:r w:rsidRPr="00672F04">
        <w:t>Shelton, Ann</w:t>
      </w:r>
      <w:r w:rsidR="00227875">
        <w:t>,</w:t>
      </w:r>
      <w:r w:rsidRPr="00672F04">
        <w:t xml:space="preserve"> and Stephen Turner. </w:t>
      </w:r>
      <w:r w:rsidRPr="00C30995">
        <w:rPr>
          <w:i/>
          <w:lang w:val="de-DE"/>
        </w:rPr>
        <w:t>Wastelands</w:t>
      </w:r>
      <w:r w:rsidRPr="00C30995">
        <w:rPr>
          <w:lang w:val="de-DE"/>
        </w:rPr>
        <w:t xml:space="preserve">. Auckland: Rim, 2010. </w:t>
      </w:r>
      <w:r w:rsidR="00227875" w:rsidRPr="00C30995">
        <w:rPr>
          <w:lang w:val="de-DE"/>
        </w:rPr>
        <w:t>Annshelton.com &lt;</w:t>
      </w:r>
      <w:hyperlink r:id="rId22" w:history="1">
        <w:r w:rsidRPr="00C30995">
          <w:rPr>
            <w:rStyle w:val="Hyperlink"/>
            <w:lang w:val="de-DE"/>
          </w:rPr>
          <w:t>www.annshelton.com/publications/wastelands.pdf</w:t>
        </w:r>
      </w:hyperlink>
      <w:r w:rsidR="00227875" w:rsidRPr="00C30995">
        <w:rPr>
          <w:rStyle w:val="Hyperlink"/>
          <w:u w:val="none"/>
          <w:lang w:val="de-DE"/>
        </w:rPr>
        <w:t>&gt;</w:t>
      </w:r>
      <w:r w:rsidRPr="00C30995">
        <w:rPr>
          <w:lang w:val="de-DE"/>
        </w:rPr>
        <w:t xml:space="preserve"> </w:t>
      </w:r>
      <w:r w:rsidR="00227875" w:rsidRPr="00C30995">
        <w:rPr>
          <w:lang w:val="de-DE"/>
        </w:rPr>
        <w:t xml:space="preserve">Web.  </w:t>
      </w:r>
      <w:r w:rsidR="00227875">
        <w:t>2 January 2014</w:t>
      </w:r>
      <w:r w:rsidRPr="00672F04">
        <w:t>.</w:t>
      </w:r>
    </w:p>
    <w:p w14:paraId="0861EBB7" w14:textId="14134A76" w:rsidR="000D2246" w:rsidRDefault="000D2246" w:rsidP="00227875">
      <w:pPr>
        <w:spacing w:after="120" w:line="360" w:lineRule="auto"/>
        <w:ind w:left="720" w:hanging="720"/>
        <w:jc w:val="both"/>
      </w:pPr>
      <w:r w:rsidRPr="00672F04">
        <w:t>Stafford, Jane</w:t>
      </w:r>
      <w:r w:rsidR="00227875">
        <w:t>,</w:t>
      </w:r>
      <w:r w:rsidRPr="00672F04">
        <w:t xml:space="preserve"> and Mark Williams. </w:t>
      </w:r>
      <w:r w:rsidRPr="00672F04">
        <w:rPr>
          <w:i/>
        </w:rPr>
        <w:t>Maoriland</w:t>
      </w:r>
      <w:r w:rsidR="00D96BA6" w:rsidRPr="00D96BA6">
        <w:rPr>
          <w:i/>
        </w:rPr>
        <w:t>: New Zealand Literature, 1872-1914</w:t>
      </w:r>
      <w:r w:rsidR="00D96BA6">
        <w:t>. Wellington: Victoria University Press, 2006.</w:t>
      </w:r>
      <w:r w:rsidR="007D36ED">
        <w:t xml:space="preserve"> </w:t>
      </w:r>
      <w:r w:rsidR="00227875" w:rsidRPr="00A94D87">
        <w:rPr>
          <w:i/>
          <w:iCs/>
        </w:rPr>
        <w:t xml:space="preserve">New Zealand Electronic Text </w:t>
      </w:r>
      <w:r w:rsidR="00227875" w:rsidRPr="00A94D87">
        <w:rPr>
          <w:i/>
          <w:iCs/>
        </w:rPr>
        <w:lastRenderedPageBreak/>
        <w:t>Collection/Te Pūhikotuhi o Aotearoa</w:t>
      </w:r>
      <w:r w:rsidR="00227875">
        <w:t xml:space="preserve">. </w:t>
      </w:r>
      <w:r w:rsidR="00090AB0">
        <w:t>&lt;</w:t>
      </w:r>
      <w:hyperlink r:id="rId23" w:history="1">
        <w:r w:rsidR="00090AB0" w:rsidRPr="001A5A3D">
          <w:rPr>
            <w:rStyle w:val="Hyperlink"/>
          </w:rPr>
          <w:t>http://nzetc.victoria.ac.nz//tm/scholarly/tei-StaMaor.</w:t>
        </w:r>
        <w:r w:rsidR="00090AB0" w:rsidRPr="00090AB0">
          <w:rPr>
            <w:rStyle w:val="Hyperlink"/>
            <w:u w:val="none"/>
          </w:rPr>
          <w:t>html</w:t>
        </w:r>
      </w:hyperlink>
      <w:r w:rsidR="00090AB0">
        <w:rPr>
          <w:rStyle w:val="Hyperlink"/>
          <w:u w:val="none"/>
        </w:rPr>
        <w:t xml:space="preserve">&gt; </w:t>
      </w:r>
      <w:r w:rsidR="00227875" w:rsidRPr="00090AB0">
        <w:t>Web</w:t>
      </w:r>
      <w:r w:rsidR="00227875">
        <w:t>. 21 January 2014</w:t>
      </w:r>
      <w:r w:rsidR="007D36ED">
        <w:t>.</w:t>
      </w:r>
    </w:p>
    <w:p w14:paraId="2F9C81CE" w14:textId="041C8546" w:rsidR="00C66CE1" w:rsidRPr="00672F04" w:rsidRDefault="007D36ED" w:rsidP="004D4D84">
      <w:pPr>
        <w:spacing w:after="120" w:line="360" w:lineRule="auto"/>
        <w:ind w:left="720" w:hanging="720"/>
        <w:jc w:val="both"/>
      </w:pPr>
      <w:r>
        <w:t xml:space="preserve">Sturm, Sean. </w:t>
      </w:r>
      <w:r w:rsidR="00227875">
        <w:t>“</w:t>
      </w:r>
      <w:r>
        <w:t>George Cha</w:t>
      </w:r>
      <w:r w:rsidR="00C66CE1">
        <w:t>mier and the Native Question</w:t>
      </w:r>
      <w:r w:rsidR="00227875">
        <w:t>”</w:t>
      </w:r>
      <w:r w:rsidR="00C66CE1">
        <w:t xml:space="preserve">, </w:t>
      </w:r>
      <w:r w:rsidR="00C66CE1" w:rsidRPr="00C66CE1">
        <w:rPr>
          <w:i/>
        </w:rPr>
        <w:t>J</w:t>
      </w:r>
      <w:r w:rsidR="00334F2E">
        <w:rPr>
          <w:i/>
        </w:rPr>
        <w:t xml:space="preserve">ournal of the </w:t>
      </w:r>
      <w:r w:rsidR="00C66CE1" w:rsidRPr="00C66CE1">
        <w:rPr>
          <w:i/>
        </w:rPr>
        <w:t>A</w:t>
      </w:r>
      <w:r w:rsidR="00334F2E">
        <w:rPr>
          <w:i/>
        </w:rPr>
        <w:t xml:space="preserve">ssociation for the </w:t>
      </w:r>
      <w:r w:rsidR="00C66CE1" w:rsidRPr="00C66CE1">
        <w:rPr>
          <w:i/>
        </w:rPr>
        <w:t>S</w:t>
      </w:r>
      <w:r w:rsidR="00334F2E">
        <w:rPr>
          <w:i/>
        </w:rPr>
        <w:t xml:space="preserve">tudy of </w:t>
      </w:r>
      <w:r w:rsidR="00C66CE1" w:rsidRPr="00C66CE1">
        <w:rPr>
          <w:i/>
        </w:rPr>
        <w:t>A</w:t>
      </w:r>
      <w:r w:rsidR="00334F2E">
        <w:rPr>
          <w:i/>
        </w:rPr>
        <w:t xml:space="preserve">ustralian </w:t>
      </w:r>
      <w:r w:rsidR="00C66CE1" w:rsidRPr="00C66CE1">
        <w:rPr>
          <w:i/>
        </w:rPr>
        <w:t>L</w:t>
      </w:r>
      <w:r w:rsidR="00334F2E">
        <w:rPr>
          <w:i/>
        </w:rPr>
        <w:t>iterature</w:t>
      </w:r>
      <w:r w:rsidR="00227875">
        <w:t xml:space="preserve"> 5 (2006): 100-</w:t>
      </w:r>
      <w:r w:rsidR="00C66CE1">
        <w:t>20.</w:t>
      </w:r>
      <w:r w:rsidR="00227875">
        <w:t xml:space="preserve"> Print. </w:t>
      </w:r>
    </w:p>
    <w:p w14:paraId="222C89C3" w14:textId="7F362E06" w:rsidR="00E34434" w:rsidRPr="00672F04" w:rsidRDefault="00E34434" w:rsidP="00227875">
      <w:pPr>
        <w:spacing w:after="120" w:line="360" w:lineRule="auto"/>
        <w:ind w:left="720" w:hanging="720"/>
        <w:jc w:val="both"/>
      </w:pPr>
      <w:r w:rsidRPr="00672F04">
        <w:t>Thomas, Nicholas</w:t>
      </w:r>
      <w:r w:rsidR="00D96BA6">
        <w:t xml:space="preserve"> and Oliver Berghof</w:t>
      </w:r>
      <w:r w:rsidRPr="00672F04">
        <w:t xml:space="preserve">. </w:t>
      </w:r>
      <w:r w:rsidR="00227875">
        <w:t>“</w:t>
      </w:r>
      <w:r w:rsidRPr="00672F04">
        <w:t>Intro</w:t>
      </w:r>
      <w:r w:rsidR="00D96BA6">
        <w:t>duction</w:t>
      </w:r>
      <w:r w:rsidR="00227875">
        <w:t>”. In</w:t>
      </w:r>
      <w:r w:rsidRPr="00672F04">
        <w:t xml:space="preserve"> </w:t>
      </w:r>
      <w:r w:rsidRPr="00672F04">
        <w:rPr>
          <w:i/>
        </w:rPr>
        <w:t>A Voyage Round the World</w:t>
      </w:r>
      <w:r w:rsidR="00D96BA6">
        <w:t>,</w:t>
      </w:r>
      <w:r w:rsidR="00D96BA6" w:rsidRPr="00D96BA6">
        <w:rPr>
          <w:i/>
        </w:rPr>
        <w:t xml:space="preserve"> Volume 1</w:t>
      </w:r>
      <w:r w:rsidR="00227875">
        <w:t xml:space="preserve"> by George Forster. Ed. </w:t>
      </w:r>
      <w:r w:rsidR="00D96BA6">
        <w:t xml:space="preserve">Nicholas </w:t>
      </w:r>
      <w:r w:rsidR="00227875">
        <w:t>Thomas and Oliver Berghof</w:t>
      </w:r>
      <w:r w:rsidR="00D96BA6">
        <w:t>. Honolulu: U of Hawai</w:t>
      </w:r>
      <w:r w:rsidR="00227875">
        <w:t>‘</w:t>
      </w:r>
      <w:r w:rsidR="00D96BA6">
        <w:t>i P, 2000.</w:t>
      </w:r>
      <w:r w:rsidR="007D36ED" w:rsidRPr="007D36ED">
        <w:t xml:space="preserve"> </w:t>
      </w:r>
      <w:r w:rsidR="00227875">
        <w:t>Project Muse. &lt;</w:t>
      </w:r>
      <w:hyperlink r:id="rId24" w:history="1">
        <w:r w:rsidR="007D36ED" w:rsidRPr="001A5A3D">
          <w:rPr>
            <w:rStyle w:val="Hyperlink"/>
          </w:rPr>
          <w:t>http://muse.jhu.edu/books/9780824861308/</w:t>
        </w:r>
      </w:hyperlink>
      <w:r w:rsidR="00227875" w:rsidRPr="00227875">
        <w:rPr>
          <w:rStyle w:val="Hyperlink"/>
          <w:u w:val="none"/>
        </w:rPr>
        <w:t>&gt;</w:t>
      </w:r>
      <w:r w:rsidR="007D36ED" w:rsidRPr="00227875">
        <w:t xml:space="preserve"> </w:t>
      </w:r>
      <w:r w:rsidR="00227875">
        <w:t>Web. 21 January 2014</w:t>
      </w:r>
      <w:r w:rsidR="007D36ED">
        <w:t>.</w:t>
      </w:r>
    </w:p>
    <w:p w14:paraId="21ADD416" w14:textId="3B88FD55" w:rsidR="00672F04" w:rsidRPr="00672F04" w:rsidRDefault="000D2246" w:rsidP="004D4D84">
      <w:pPr>
        <w:spacing w:after="120" w:line="360" w:lineRule="auto"/>
        <w:ind w:left="720" w:hanging="720"/>
        <w:jc w:val="both"/>
      </w:pPr>
      <w:r w:rsidRPr="00672F04">
        <w:t xml:space="preserve">Turner, Stephen. </w:t>
      </w:r>
      <w:r w:rsidR="00227875">
        <w:t>“</w:t>
      </w:r>
      <w:r w:rsidRPr="00672F04">
        <w:t>Being Colonial/Colonial Being</w:t>
      </w:r>
      <w:r w:rsidR="00227875">
        <w:t>,”</w:t>
      </w:r>
      <w:r w:rsidR="00E34434" w:rsidRPr="00672F04">
        <w:t xml:space="preserve"> </w:t>
      </w:r>
      <w:r w:rsidR="00E34434" w:rsidRPr="00672F04">
        <w:rPr>
          <w:i/>
        </w:rPr>
        <w:t>J</w:t>
      </w:r>
      <w:r w:rsidR="00C65152">
        <w:rPr>
          <w:i/>
        </w:rPr>
        <w:t xml:space="preserve">ournal of </w:t>
      </w:r>
      <w:r w:rsidR="00E34434" w:rsidRPr="00672F04">
        <w:rPr>
          <w:i/>
        </w:rPr>
        <w:t>N</w:t>
      </w:r>
      <w:r w:rsidR="00C65152">
        <w:rPr>
          <w:i/>
        </w:rPr>
        <w:t xml:space="preserve">ew </w:t>
      </w:r>
      <w:r w:rsidR="00E34434" w:rsidRPr="00672F04">
        <w:rPr>
          <w:i/>
        </w:rPr>
        <w:t>Z</w:t>
      </w:r>
      <w:r w:rsidR="00C65152">
        <w:rPr>
          <w:i/>
        </w:rPr>
        <w:t xml:space="preserve">ealand </w:t>
      </w:r>
      <w:r w:rsidR="00E34434" w:rsidRPr="00672F04">
        <w:rPr>
          <w:i/>
        </w:rPr>
        <w:t>L</w:t>
      </w:r>
      <w:r w:rsidR="00C65152">
        <w:rPr>
          <w:i/>
        </w:rPr>
        <w:t>iterature</w:t>
      </w:r>
      <w:r w:rsidR="00672F04" w:rsidRPr="00672F04">
        <w:t xml:space="preserve"> 20 (2002): 39-66</w:t>
      </w:r>
      <w:r w:rsidR="00E34434" w:rsidRPr="00672F04">
        <w:t>.</w:t>
      </w:r>
      <w:r w:rsidR="00B42E5E" w:rsidRPr="00672F04">
        <w:t xml:space="preserve"> </w:t>
      </w:r>
      <w:r w:rsidR="00227875">
        <w:t xml:space="preserve">Print. </w:t>
      </w:r>
    </w:p>
    <w:p w14:paraId="24AE0618" w14:textId="75E92439" w:rsidR="002A095D" w:rsidRDefault="00227875" w:rsidP="004D4D84">
      <w:pPr>
        <w:spacing w:after="120" w:line="360" w:lineRule="auto"/>
        <w:ind w:left="720" w:hanging="720"/>
        <w:jc w:val="both"/>
      </w:pPr>
      <w:r>
        <w:t>v</w:t>
      </w:r>
      <w:r w:rsidR="000D2246" w:rsidRPr="00672F04">
        <w:t xml:space="preserve">an Toorn, Penny. </w:t>
      </w:r>
      <w:r w:rsidR="000D2246" w:rsidRPr="00672F04">
        <w:rPr>
          <w:i/>
        </w:rPr>
        <w:t>Writing Never Arrives Naked</w:t>
      </w:r>
      <w:r w:rsidR="00672F04" w:rsidRPr="00672F04">
        <w:rPr>
          <w:i/>
        </w:rPr>
        <w:t>: Early Aboriginal Cultures of Writing in Australia</w:t>
      </w:r>
      <w:r w:rsidR="00672F04">
        <w:t>. Ca</w:t>
      </w:r>
      <w:r>
        <w:t>nberra: Aboriginal Studies P</w:t>
      </w:r>
      <w:r w:rsidR="00672F04">
        <w:t>, 2006.</w:t>
      </w:r>
      <w:r>
        <w:t xml:space="preserve"> Print. </w:t>
      </w:r>
    </w:p>
    <w:p w14:paraId="432C7FBD" w14:textId="77777777" w:rsidR="000D2246" w:rsidRDefault="000D2246" w:rsidP="004D4D84">
      <w:pPr>
        <w:spacing w:after="120" w:line="360" w:lineRule="auto"/>
        <w:ind w:left="720" w:hanging="720"/>
        <w:jc w:val="both"/>
      </w:pPr>
    </w:p>
    <w:p w14:paraId="1D2D5845" w14:textId="77777777" w:rsidR="002A095D" w:rsidRPr="0071035F" w:rsidRDefault="002A095D" w:rsidP="004D4D84">
      <w:pPr>
        <w:spacing w:after="120" w:line="360" w:lineRule="auto"/>
        <w:ind w:left="720" w:hanging="720"/>
        <w:jc w:val="both"/>
      </w:pPr>
    </w:p>
    <w:sectPr w:rsidR="002A095D" w:rsidRPr="0071035F" w:rsidSect="00D21CA5"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na Boswell" w:date="2014-07-29T17:18:00Z" w:initials="AB">
    <w:p w14:paraId="7431B6B5" w14:textId="79E6A65F" w:rsidR="00994FF3" w:rsidRDefault="00994FF3">
      <w:pPr>
        <w:pStyle w:val="CommentText"/>
      </w:pPr>
      <w:r>
        <w:rPr>
          <w:rStyle w:val="CommentReference"/>
        </w:rPr>
        <w:annotationRef/>
      </w:r>
      <w:r>
        <w:t>Approaches doesn’t seem to sit well with interweaving (although it perhaps carries stronger pedagogical connotations). Concerns might work</w:t>
      </w:r>
      <w:r w:rsidR="006D7D1A">
        <w:t xml:space="preserve"> better</w:t>
      </w:r>
      <w:r>
        <w:t>??</w:t>
      </w:r>
    </w:p>
  </w:comment>
  <w:comment w:id="2" w:author="Sarah Shieff" w:date="2014-07-29T13:00:00Z" w:initials="SS">
    <w:p w14:paraId="4392FF5C" w14:textId="428E85D2" w:rsidR="004D4D84" w:rsidRDefault="004D4D84">
      <w:pPr>
        <w:pStyle w:val="CommentText"/>
      </w:pPr>
      <w:r>
        <w:rPr>
          <w:rStyle w:val="CommentReference"/>
        </w:rPr>
        <w:annotationRef/>
      </w:r>
      <w:r>
        <w:t>Approaches?</w:t>
      </w:r>
    </w:p>
  </w:comment>
  <w:comment w:id="3" w:author="Sarah Shieff" w:date="2014-07-29T13:01:00Z" w:initials="SS">
    <w:p w14:paraId="56B31569" w14:textId="10D01370" w:rsidR="00B444DD" w:rsidRDefault="00B444DD">
      <w:pPr>
        <w:pStyle w:val="CommentText"/>
      </w:pPr>
      <w:r>
        <w:rPr>
          <w:rStyle w:val="CommentReference"/>
        </w:rPr>
        <w:annotationRef/>
      </w:r>
      <w:r>
        <w:t xml:space="preserve">Limitations? Limits? </w:t>
      </w:r>
    </w:p>
  </w:comment>
  <w:comment w:id="4" w:author="Anna Boswell" w:date="2014-07-29T17:14:00Z" w:initials="AB">
    <w:p w14:paraId="1C5CCEA7" w14:textId="6FEF2D17" w:rsidR="00994FF3" w:rsidRDefault="00994FF3">
      <w:pPr>
        <w:pStyle w:val="CommentText"/>
      </w:pPr>
      <w:r>
        <w:rPr>
          <w:rStyle w:val="CommentReference"/>
        </w:rPr>
        <w:annotationRef/>
      </w:r>
      <w:r>
        <w:t>Limits is fine by me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2686" w14:textId="77777777" w:rsidR="0003642B" w:rsidRDefault="0003642B" w:rsidP="00F60E96">
      <w:r>
        <w:separator/>
      </w:r>
    </w:p>
  </w:endnote>
  <w:endnote w:type="continuationSeparator" w:id="0">
    <w:p w14:paraId="3FD144E4" w14:textId="77777777" w:rsidR="0003642B" w:rsidRDefault="0003642B" w:rsidP="00F60E96">
      <w:r>
        <w:continuationSeparator/>
      </w:r>
    </w:p>
  </w:endnote>
  <w:endnote w:id="1">
    <w:p w14:paraId="37EED685" w14:textId="0A573D5E" w:rsidR="009A161B" w:rsidRDefault="009A161B" w:rsidP="00227875">
      <w:pPr>
        <w:pStyle w:val="EndnoteText"/>
      </w:pPr>
      <w:r>
        <w:rPr>
          <w:rStyle w:val="EndnoteReference"/>
        </w:rPr>
        <w:endnoteRef/>
      </w:r>
      <w:r>
        <w:t xml:space="preserve"> New Zealand, the name given to the country in the mid-1640s after the visit of the Dutch seafarer Abel Tasman, is the appellation that I use throughout this chapter because the country was conceived and constructed a</w:t>
      </w:r>
      <w:r w:rsidR="00227875">
        <w:t>s New Zealand by the nineteenth-</w:t>
      </w:r>
      <w:r>
        <w:t xml:space="preserve">century writers whose work I discuss. In other words, this name signals a short history of place which actively </w:t>
      </w:r>
      <w:r w:rsidRPr="00CD11FE">
        <w:t>writes over</w:t>
      </w:r>
      <w:r>
        <w:t xml:space="preserve"> a much longer Indigenous history. The Māori name for this country is </w:t>
      </w:r>
      <w:r w:rsidRPr="00A60E83">
        <w:t>Aotearoa</w:t>
      </w:r>
      <w:r w:rsidR="007B786B">
        <w:t>, a term whose earliest recorded use is in George Grey</w:t>
      </w:r>
      <w:r w:rsidR="00F35C21">
        <w:t>’</w:t>
      </w:r>
      <w:r w:rsidR="007B786B">
        <w:t xml:space="preserve">s 1855 </w:t>
      </w:r>
      <w:r w:rsidR="007B786B" w:rsidRPr="007B786B">
        <w:rPr>
          <w:i/>
        </w:rPr>
        <w:t>Polynesian Mythology and Ancient Traditional History of the New Zealand Race</w:t>
      </w:r>
      <w:r w:rsidR="007B786B">
        <w:t>. A</w:t>
      </w:r>
      <w:r>
        <w:t xml:space="preserve">t the time of European arrival, Māori possessed no name for themselves as a people or </w:t>
      </w:r>
      <w:r w:rsidR="00227875">
        <w:t xml:space="preserve">a </w:t>
      </w:r>
      <w:r>
        <w:t xml:space="preserve">political collective but referred to Europeans as </w:t>
      </w:r>
      <w:r w:rsidRPr="00A60E83">
        <w:t>pākehā</w:t>
      </w:r>
      <w:r>
        <w:t xml:space="preserve">, meaning foreign or pale-skinned, while Europeans initially referred to Māori as </w:t>
      </w:r>
      <w:r w:rsidR="00F35C21">
        <w:t>‘</w:t>
      </w:r>
      <w:r>
        <w:t>the New Zealanders</w:t>
      </w:r>
      <w:r w:rsidR="00F35C21">
        <w:t>’</w:t>
      </w:r>
      <w:r>
        <w:t xml:space="preserve">, later adopting this term for themselves as a sign of identification and </w:t>
      </w:r>
      <w:r w:rsidR="007B786B">
        <w:t>belonging</w:t>
      </w:r>
      <w:r w:rsidR="00227875">
        <w:t xml:space="preserve">. See Turner </w:t>
      </w:r>
      <w:r>
        <w:t xml:space="preserve">and Stafford and Williams for discussion of the political implications of these slippages in naming. </w:t>
      </w:r>
    </w:p>
  </w:endnote>
  <w:endnote w:id="2">
    <w:p w14:paraId="60A88FAB" w14:textId="07274B1C" w:rsidR="009A161B" w:rsidRPr="0071035F" w:rsidRDefault="009A161B" w:rsidP="00C6305F">
      <w:pPr>
        <w:pStyle w:val="EndnoteText"/>
      </w:pPr>
      <w:r w:rsidRPr="0071035F">
        <w:rPr>
          <w:rStyle w:val="EndnoteReference"/>
        </w:rPr>
        <w:endnoteRef/>
      </w:r>
      <w:r w:rsidRPr="0071035F">
        <w:t xml:space="preserve"> </w:t>
      </w:r>
      <w:r>
        <w:t>Se</w:t>
      </w:r>
      <w:r w:rsidR="008105B2">
        <w:t xml:space="preserve">e Thomas and </w:t>
      </w:r>
      <w:r w:rsidR="008105B2">
        <w:t>Berghof (</w:t>
      </w:r>
      <w:r>
        <w:t>xiii-xxvii) for discussion of</w:t>
      </w:r>
      <w:r w:rsidRPr="0071035F">
        <w:t xml:space="preserve"> unresolved questions of authorship </w:t>
      </w:r>
      <w:r>
        <w:t xml:space="preserve">and attribution connected with the </w:t>
      </w:r>
      <w:r w:rsidRPr="002A095D">
        <w:rPr>
          <w:i/>
        </w:rPr>
        <w:t>Voyage</w:t>
      </w:r>
      <w:r w:rsidRPr="0071035F">
        <w:t>.</w:t>
      </w:r>
      <w:r>
        <w:t xml:space="preserve"> </w:t>
      </w:r>
    </w:p>
  </w:endnote>
  <w:endnote w:id="3">
    <w:p w14:paraId="39F7F265" w14:textId="6D4642E9" w:rsidR="009A161B" w:rsidRPr="0071035F" w:rsidRDefault="009A161B" w:rsidP="00227875">
      <w:pPr>
        <w:pStyle w:val="EndnoteText"/>
      </w:pPr>
      <w:r w:rsidRPr="0071035F">
        <w:rPr>
          <w:rStyle w:val="EndnoteReference"/>
        </w:rPr>
        <w:endnoteRef/>
      </w:r>
      <w:r w:rsidRPr="0071035F">
        <w:t xml:space="preserve"> </w:t>
      </w:r>
      <w:r w:rsidRPr="0071035F">
        <w:t>Selected paintings by Earle are reprinted in Murray-Oliver</w:t>
      </w:r>
      <w:r w:rsidR="00227875">
        <w:t xml:space="preserve"> </w:t>
      </w:r>
      <w:r w:rsidRPr="0071035F">
        <w:t>and Brown</w:t>
      </w:r>
      <w:r>
        <w:t xml:space="preserve">, and are available online. See for example </w:t>
      </w:r>
      <w:r w:rsidR="00227875">
        <w:t>&lt;</w:t>
      </w:r>
      <w:hyperlink r:id="rId1" w:history="1">
        <w:r w:rsidRPr="001A5A3D">
          <w:rPr>
            <w:rStyle w:val="Hyperlink"/>
          </w:rPr>
          <w:t>http://www.teara.govt.nz/en/artwork/605/a-corner-of-australia-at-kerikeri</w:t>
        </w:r>
      </w:hyperlink>
      <w:r>
        <w:t xml:space="preserve"> </w:t>
      </w:r>
      <w:r w:rsidR="00227875">
        <w:t>&gt; 2 January 2014</w:t>
      </w:r>
      <w:r>
        <w:t>.</w:t>
      </w:r>
    </w:p>
  </w:endnote>
  <w:endnote w:id="4">
    <w:p w14:paraId="781AE421" w14:textId="31DAFC41" w:rsidR="009A161B" w:rsidRPr="0071035F" w:rsidRDefault="009A161B" w:rsidP="00227875">
      <w:pPr>
        <w:pStyle w:val="EndnoteText"/>
      </w:pPr>
      <w:r w:rsidRPr="0071035F">
        <w:rPr>
          <w:rStyle w:val="EndnoteReference"/>
        </w:rPr>
        <w:endnoteRef/>
      </w:r>
      <w:r w:rsidRPr="0071035F">
        <w:t xml:space="preserve"> </w:t>
      </w:r>
      <w:r w:rsidRPr="0071035F">
        <w:t xml:space="preserve">See for example </w:t>
      </w:r>
      <w:r w:rsidR="00227875">
        <w:t xml:space="preserve">Boswell, Calder, “Introduction” to F. E. </w:t>
      </w:r>
      <w:r w:rsidR="00227875">
        <w:t xml:space="preserve">Maning’s </w:t>
      </w:r>
      <w:r w:rsidR="00227875" w:rsidRPr="00227875">
        <w:rPr>
          <w:i/>
          <w:iCs/>
        </w:rPr>
        <w:t>Old New Zealand and Other Writings</w:t>
      </w:r>
      <w:r w:rsidR="00227875">
        <w:t xml:space="preserve">, and </w:t>
      </w:r>
      <w:r w:rsidR="00227875" w:rsidRPr="00227875">
        <w:rPr>
          <w:i/>
          <w:iCs/>
        </w:rPr>
        <w:t>The Settler’s Plot</w:t>
      </w:r>
      <w:r w:rsidR="00227875">
        <w:t xml:space="preserve">; </w:t>
      </w:r>
      <w:r w:rsidR="00227875" w:rsidRPr="0071035F">
        <w:t>During</w:t>
      </w:r>
      <w:r w:rsidR="00227875">
        <w:t xml:space="preserve"> and </w:t>
      </w:r>
      <w:r w:rsidRPr="0071035F">
        <w:t>Turner</w:t>
      </w:r>
      <w:r w:rsidR="00227875">
        <w:t xml:space="preserve">.  </w:t>
      </w:r>
    </w:p>
  </w:endnote>
  <w:endnote w:id="5">
    <w:p w14:paraId="28DD7F4C" w14:textId="5E70A24B" w:rsidR="00735D13" w:rsidRDefault="00735D13">
      <w:pPr>
        <w:pStyle w:val="EndnoteText"/>
      </w:pPr>
      <w:r>
        <w:rPr>
          <w:rStyle w:val="EndnoteReference"/>
        </w:rPr>
        <w:endnoteRef/>
      </w:r>
      <w:r>
        <w:t xml:space="preserve"> My thanks to Alex Calder, in whose own classroom I learned and applied this strategy.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2DFC" w14:textId="77777777" w:rsidR="0003642B" w:rsidRDefault="0003642B" w:rsidP="00F60E96">
      <w:r>
        <w:separator/>
      </w:r>
    </w:p>
  </w:footnote>
  <w:footnote w:type="continuationSeparator" w:id="0">
    <w:p w14:paraId="6AF5AC6F" w14:textId="77777777" w:rsidR="0003642B" w:rsidRDefault="0003642B" w:rsidP="00F6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9DE"/>
    <w:multiLevelType w:val="multilevel"/>
    <w:tmpl w:val="ABA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80D5B"/>
    <w:multiLevelType w:val="hybridMultilevel"/>
    <w:tmpl w:val="E94A5174"/>
    <w:lvl w:ilvl="0" w:tplc="A67EB4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25DD"/>
    <w:multiLevelType w:val="hybridMultilevel"/>
    <w:tmpl w:val="60064C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8"/>
    <w:rsid w:val="00014EC0"/>
    <w:rsid w:val="000247D6"/>
    <w:rsid w:val="00033D4C"/>
    <w:rsid w:val="0003642B"/>
    <w:rsid w:val="0004227C"/>
    <w:rsid w:val="0004350A"/>
    <w:rsid w:val="000501F3"/>
    <w:rsid w:val="000562C2"/>
    <w:rsid w:val="0006222F"/>
    <w:rsid w:val="00066951"/>
    <w:rsid w:val="00070EEE"/>
    <w:rsid w:val="00070F67"/>
    <w:rsid w:val="00072651"/>
    <w:rsid w:val="00073340"/>
    <w:rsid w:val="00077268"/>
    <w:rsid w:val="000800F3"/>
    <w:rsid w:val="00083647"/>
    <w:rsid w:val="00090AB0"/>
    <w:rsid w:val="00093770"/>
    <w:rsid w:val="000A2E98"/>
    <w:rsid w:val="000B036A"/>
    <w:rsid w:val="000B10CE"/>
    <w:rsid w:val="000B3716"/>
    <w:rsid w:val="000C0910"/>
    <w:rsid w:val="000D2246"/>
    <w:rsid w:val="000D4C1C"/>
    <w:rsid w:val="000E5137"/>
    <w:rsid w:val="000F494B"/>
    <w:rsid w:val="000F5502"/>
    <w:rsid w:val="00100DCD"/>
    <w:rsid w:val="001102FA"/>
    <w:rsid w:val="001116C9"/>
    <w:rsid w:val="001269FF"/>
    <w:rsid w:val="00131F95"/>
    <w:rsid w:val="001355B5"/>
    <w:rsid w:val="00146930"/>
    <w:rsid w:val="00147A50"/>
    <w:rsid w:val="00160550"/>
    <w:rsid w:val="001727D7"/>
    <w:rsid w:val="00195785"/>
    <w:rsid w:val="001B0EF5"/>
    <w:rsid w:val="001B2075"/>
    <w:rsid w:val="001B49A2"/>
    <w:rsid w:val="001B6A18"/>
    <w:rsid w:val="001C092A"/>
    <w:rsid w:val="001C2564"/>
    <w:rsid w:val="001C259C"/>
    <w:rsid w:val="001C4E90"/>
    <w:rsid w:val="001C5166"/>
    <w:rsid w:val="001D1865"/>
    <w:rsid w:val="001E2314"/>
    <w:rsid w:val="001E37A4"/>
    <w:rsid w:val="001F1DEF"/>
    <w:rsid w:val="001F5F77"/>
    <w:rsid w:val="00225CED"/>
    <w:rsid w:val="00227875"/>
    <w:rsid w:val="002626EB"/>
    <w:rsid w:val="00274A72"/>
    <w:rsid w:val="0028709C"/>
    <w:rsid w:val="002A095D"/>
    <w:rsid w:val="002A0F52"/>
    <w:rsid w:val="002A36B3"/>
    <w:rsid w:val="002A5F91"/>
    <w:rsid w:val="002C421B"/>
    <w:rsid w:val="002C4C67"/>
    <w:rsid w:val="002C4D7E"/>
    <w:rsid w:val="002E310F"/>
    <w:rsid w:val="002F2054"/>
    <w:rsid w:val="002F26C7"/>
    <w:rsid w:val="002F53E8"/>
    <w:rsid w:val="00306096"/>
    <w:rsid w:val="003103CA"/>
    <w:rsid w:val="0031351B"/>
    <w:rsid w:val="00313CD8"/>
    <w:rsid w:val="00316380"/>
    <w:rsid w:val="00326F9B"/>
    <w:rsid w:val="00334D84"/>
    <w:rsid w:val="00334F2E"/>
    <w:rsid w:val="00336176"/>
    <w:rsid w:val="00351800"/>
    <w:rsid w:val="00355164"/>
    <w:rsid w:val="003612D6"/>
    <w:rsid w:val="0036225E"/>
    <w:rsid w:val="003647DA"/>
    <w:rsid w:val="00377834"/>
    <w:rsid w:val="00380360"/>
    <w:rsid w:val="00394F11"/>
    <w:rsid w:val="003968D1"/>
    <w:rsid w:val="003A18E7"/>
    <w:rsid w:val="003A7202"/>
    <w:rsid w:val="003B2219"/>
    <w:rsid w:val="003B72B5"/>
    <w:rsid w:val="003B7408"/>
    <w:rsid w:val="003C17B3"/>
    <w:rsid w:val="003D715C"/>
    <w:rsid w:val="003E2267"/>
    <w:rsid w:val="003F053D"/>
    <w:rsid w:val="003F31DB"/>
    <w:rsid w:val="004065A2"/>
    <w:rsid w:val="00413CE3"/>
    <w:rsid w:val="00425E14"/>
    <w:rsid w:val="004402A1"/>
    <w:rsid w:val="00443672"/>
    <w:rsid w:val="0045036B"/>
    <w:rsid w:val="00453B9C"/>
    <w:rsid w:val="004557C0"/>
    <w:rsid w:val="004667EB"/>
    <w:rsid w:val="00476357"/>
    <w:rsid w:val="004828A5"/>
    <w:rsid w:val="00494B01"/>
    <w:rsid w:val="004A7E96"/>
    <w:rsid w:val="004B17B2"/>
    <w:rsid w:val="004B378B"/>
    <w:rsid w:val="004B4B7E"/>
    <w:rsid w:val="004C25D2"/>
    <w:rsid w:val="004C34A4"/>
    <w:rsid w:val="004C63C3"/>
    <w:rsid w:val="004D4D84"/>
    <w:rsid w:val="004D6AA3"/>
    <w:rsid w:val="004E047A"/>
    <w:rsid w:val="004E0DCD"/>
    <w:rsid w:val="004E4552"/>
    <w:rsid w:val="004F5FB8"/>
    <w:rsid w:val="004F6C5D"/>
    <w:rsid w:val="00503E4B"/>
    <w:rsid w:val="0051213B"/>
    <w:rsid w:val="005245DC"/>
    <w:rsid w:val="00537B25"/>
    <w:rsid w:val="00541887"/>
    <w:rsid w:val="00546A25"/>
    <w:rsid w:val="005519C5"/>
    <w:rsid w:val="00554058"/>
    <w:rsid w:val="005656B2"/>
    <w:rsid w:val="005662CA"/>
    <w:rsid w:val="0057192D"/>
    <w:rsid w:val="00580644"/>
    <w:rsid w:val="0059007F"/>
    <w:rsid w:val="0059314E"/>
    <w:rsid w:val="005B4748"/>
    <w:rsid w:val="005B493B"/>
    <w:rsid w:val="005C04F8"/>
    <w:rsid w:val="005C5322"/>
    <w:rsid w:val="005C6DF7"/>
    <w:rsid w:val="005D2B7E"/>
    <w:rsid w:val="005D5DBE"/>
    <w:rsid w:val="005D6274"/>
    <w:rsid w:val="005D7E97"/>
    <w:rsid w:val="005E0475"/>
    <w:rsid w:val="005E3D47"/>
    <w:rsid w:val="005F1D51"/>
    <w:rsid w:val="005F2E57"/>
    <w:rsid w:val="005F6642"/>
    <w:rsid w:val="00603DC0"/>
    <w:rsid w:val="0061240E"/>
    <w:rsid w:val="00612BFD"/>
    <w:rsid w:val="00617355"/>
    <w:rsid w:val="00621B63"/>
    <w:rsid w:val="00642C9E"/>
    <w:rsid w:val="006454A0"/>
    <w:rsid w:val="00651244"/>
    <w:rsid w:val="006521C3"/>
    <w:rsid w:val="00655B23"/>
    <w:rsid w:val="0066136D"/>
    <w:rsid w:val="00664E96"/>
    <w:rsid w:val="006676F7"/>
    <w:rsid w:val="00672F04"/>
    <w:rsid w:val="00675371"/>
    <w:rsid w:val="006848D7"/>
    <w:rsid w:val="00684ACB"/>
    <w:rsid w:val="00684C72"/>
    <w:rsid w:val="006906A3"/>
    <w:rsid w:val="006934AE"/>
    <w:rsid w:val="006944EB"/>
    <w:rsid w:val="0069593A"/>
    <w:rsid w:val="0069787E"/>
    <w:rsid w:val="006B0CC9"/>
    <w:rsid w:val="006C396B"/>
    <w:rsid w:val="006C4A41"/>
    <w:rsid w:val="006D0006"/>
    <w:rsid w:val="006D7D1A"/>
    <w:rsid w:val="006E2DCD"/>
    <w:rsid w:val="006F6AF6"/>
    <w:rsid w:val="00710087"/>
    <w:rsid w:val="0071035F"/>
    <w:rsid w:val="007112B1"/>
    <w:rsid w:val="0072158E"/>
    <w:rsid w:val="00732688"/>
    <w:rsid w:val="00735D13"/>
    <w:rsid w:val="00735F57"/>
    <w:rsid w:val="007459CC"/>
    <w:rsid w:val="0074692A"/>
    <w:rsid w:val="00746E3A"/>
    <w:rsid w:val="00755925"/>
    <w:rsid w:val="00757770"/>
    <w:rsid w:val="00763BAC"/>
    <w:rsid w:val="00765185"/>
    <w:rsid w:val="00777890"/>
    <w:rsid w:val="007933A5"/>
    <w:rsid w:val="00794958"/>
    <w:rsid w:val="007A1033"/>
    <w:rsid w:val="007A1ED2"/>
    <w:rsid w:val="007A4EFE"/>
    <w:rsid w:val="007A6542"/>
    <w:rsid w:val="007A6A51"/>
    <w:rsid w:val="007B2A12"/>
    <w:rsid w:val="007B786B"/>
    <w:rsid w:val="007B790F"/>
    <w:rsid w:val="007C563F"/>
    <w:rsid w:val="007D36ED"/>
    <w:rsid w:val="007E37DB"/>
    <w:rsid w:val="007E7BEB"/>
    <w:rsid w:val="007F63B3"/>
    <w:rsid w:val="007F6F0F"/>
    <w:rsid w:val="008101E5"/>
    <w:rsid w:val="008105B2"/>
    <w:rsid w:val="00820F91"/>
    <w:rsid w:val="008210A7"/>
    <w:rsid w:val="00832FA7"/>
    <w:rsid w:val="00835C9D"/>
    <w:rsid w:val="0083714F"/>
    <w:rsid w:val="00842265"/>
    <w:rsid w:val="00850E11"/>
    <w:rsid w:val="00864ED0"/>
    <w:rsid w:val="00866C86"/>
    <w:rsid w:val="008740EA"/>
    <w:rsid w:val="00874E88"/>
    <w:rsid w:val="00877E6B"/>
    <w:rsid w:val="00880A64"/>
    <w:rsid w:val="008859EF"/>
    <w:rsid w:val="00886E3D"/>
    <w:rsid w:val="00892AAD"/>
    <w:rsid w:val="008B09AE"/>
    <w:rsid w:val="008B3C63"/>
    <w:rsid w:val="008B5489"/>
    <w:rsid w:val="008C22F8"/>
    <w:rsid w:val="008C72E3"/>
    <w:rsid w:val="008C7582"/>
    <w:rsid w:val="008D0922"/>
    <w:rsid w:val="008D252C"/>
    <w:rsid w:val="008E31C4"/>
    <w:rsid w:val="008E50B6"/>
    <w:rsid w:val="008F1836"/>
    <w:rsid w:val="008F3F1C"/>
    <w:rsid w:val="008F61B1"/>
    <w:rsid w:val="008F65DF"/>
    <w:rsid w:val="00905402"/>
    <w:rsid w:val="00907B7B"/>
    <w:rsid w:val="0092522B"/>
    <w:rsid w:val="0092620D"/>
    <w:rsid w:val="00935419"/>
    <w:rsid w:val="00936722"/>
    <w:rsid w:val="009466BC"/>
    <w:rsid w:val="00967842"/>
    <w:rsid w:val="00972679"/>
    <w:rsid w:val="00975CC9"/>
    <w:rsid w:val="009808D6"/>
    <w:rsid w:val="00994FF3"/>
    <w:rsid w:val="009A161B"/>
    <w:rsid w:val="009A1B37"/>
    <w:rsid w:val="009A3B78"/>
    <w:rsid w:val="009A43F4"/>
    <w:rsid w:val="009B4AF5"/>
    <w:rsid w:val="009C6EF0"/>
    <w:rsid w:val="009D6A5D"/>
    <w:rsid w:val="009E17E5"/>
    <w:rsid w:val="009F36ED"/>
    <w:rsid w:val="00A04652"/>
    <w:rsid w:val="00A06E12"/>
    <w:rsid w:val="00A0742D"/>
    <w:rsid w:val="00A10F3C"/>
    <w:rsid w:val="00A15452"/>
    <w:rsid w:val="00A16690"/>
    <w:rsid w:val="00A1685E"/>
    <w:rsid w:val="00A16AF4"/>
    <w:rsid w:val="00A16E58"/>
    <w:rsid w:val="00A21025"/>
    <w:rsid w:val="00A227DE"/>
    <w:rsid w:val="00A4547D"/>
    <w:rsid w:val="00A52CD5"/>
    <w:rsid w:val="00A60E83"/>
    <w:rsid w:val="00A622C0"/>
    <w:rsid w:val="00A63A6F"/>
    <w:rsid w:val="00A83377"/>
    <w:rsid w:val="00A83C71"/>
    <w:rsid w:val="00A862DF"/>
    <w:rsid w:val="00A94D87"/>
    <w:rsid w:val="00A975C8"/>
    <w:rsid w:val="00AB2AC1"/>
    <w:rsid w:val="00AB4706"/>
    <w:rsid w:val="00AB4F89"/>
    <w:rsid w:val="00AB6F8B"/>
    <w:rsid w:val="00AC6C9E"/>
    <w:rsid w:val="00AC7545"/>
    <w:rsid w:val="00AD0B97"/>
    <w:rsid w:val="00AE1D4E"/>
    <w:rsid w:val="00AE2510"/>
    <w:rsid w:val="00AF1335"/>
    <w:rsid w:val="00B1371C"/>
    <w:rsid w:val="00B13929"/>
    <w:rsid w:val="00B158B9"/>
    <w:rsid w:val="00B20093"/>
    <w:rsid w:val="00B24494"/>
    <w:rsid w:val="00B27FE9"/>
    <w:rsid w:val="00B408CD"/>
    <w:rsid w:val="00B42E5E"/>
    <w:rsid w:val="00B43ABE"/>
    <w:rsid w:val="00B444DD"/>
    <w:rsid w:val="00B524E8"/>
    <w:rsid w:val="00B52AAC"/>
    <w:rsid w:val="00B54DF2"/>
    <w:rsid w:val="00B6313B"/>
    <w:rsid w:val="00B65F5C"/>
    <w:rsid w:val="00B675E3"/>
    <w:rsid w:val="00B8408D"/>
    <w:rsid w:val="00BA1BB6"/>
    <w:rsid w:val="00BB48FD"/>
    <w:rsid w:val="00BB677D"/>
    <w:rsid w:val="00BC10FE"/>
    <w:rsid w:val="00BC3583"/>
    <w:rsid w:val="00BD3925"/>
    <w:rsid w:val="00BD58DD"/>
    <w:rsid w:val="00BD69E2"/>
    <w:rsid w:val="00BD6E45"/>
    <w:rsid w:val="00BE7E9D"/>
    <w:rsid w:val="00C01C61"/>
    <w:rsid w:val="00C06173"/>
    <w:rsid w:val="00C108B3"/>
    <w:rsid w:val="00C201C2"/>
    <w:rsid w:val="00C20D50"/>
    <w:rsid w:val="00C26F89"/>
    <w:rsid w:val="00C30995"/>
    <w:rsid w:val="00C3131D"/>
    <w:rsid w:val="00C47AE4"/>
    <w:rsid w:val="00C6305F"/>
    <w:rsid w:val="00C6326F"/>
    <w:rsid w:val="00C65152"/>
    <w:rsid w:val="00C66CE1"/>
    <w:rsid w:val="00C721EB"/>
    <w:rsid w:val="00C751F6"/>
    <w:rsid w:val="00C75DC9"/>
    <w:rsid w:val="00C97F93"/>
    <w:rsid w:val="00CA04DE"/>
    <w:rsid w:val="00CB07E6"/>
    <w:rsid w:val="00CB26BE"/>
    <w:rsid w:val="00CB5939"/>
    <w:rsid w:val="00CC1AEE"/>
    <w:rsid w:val="00CC6DB7"/>
    <w:rsid w:val="00CC789C"/>
    <w:rsid w:val="00CC7F8A"/>
    <w:rsid w:val="00CD11FE"/>
    <w:rsid w:val="00CD1C65"/>
    <w:rsid w:val="00CD3B55"/>
    <w:rsid w:val="00CD423C"/>
    <w:rsid w:val="00CD556D"/>
    <w:rsid w:val="00CE3FB8"/>
    <w:rsid w:val="00CE3FE9"/>
    <w:rsid w:val="00CF4BF0"/>
    <w:rsid w:val="00CF5BA6"/>
    <w:rsid w:val="00D024C2"/>
    <w:rsid w:val="00D05C0F"/>
    <w:rsid w:val="00D0648A"/>
    <w:rsid w:val="00D172B6"/>
    <w:rsid w:val="00D21CA5"/>
    <w:rsid w:val="00D3550E"/>
    <w:rsid w:val="00D503C9"/>
    <w:rsid w:val="00D622EF"/>
    <w:rsid w:val="00D64FA6"/>
    <w:rsid w:val="00D65D18"/>
    <w:rsid w:val="00D67D64"/>
    <w:rsid w:val="00D7290D"/>
    <w:rsid w:val="00D7328D"/>
    <w:rsid w:val="00D91604"/>
    <w:rsid w:val="00D93AE2"/>
    <w:rsid w:val="00D941C0"/>
    <w:rsid w:val="00D96BA6"/>
    <w:rsid w:val="00DA1424"/>
    <w:rsid w:val="00DA6ADE"/>
    <w:rsid w:val="00DB3214"/>
    <w:rsid w:val="00DB48E4"/>
    <w:rsid w:val="00DC3D1A"/>
    <w:rsid w:val="00DC62B2"/>
    <w:rsid w:val="00DC73F1"/>
    <w:rsid w:val="00DC7643"/>
    <w:rsid w:val="00DD4348"/>
    <w:rsid w:val="00DE05B5"/>
    <w:rsid w:val="00E01058"/>
    <w:rsid w:val="00E103F5"/>
    <w:rsid w:val="00E121F9"/>
    <w:rsid w:val="00E16DE0"/>
    <w:rsid w:val="00E210D4"/>
    <w:rsid w:val="00E21B1F"/>
    <w:rsid w:val="00E22DC7"/>
    <w:rsid w:val="00E34434"/>
    <w:rsid w:val="00E366B5"/>
    <w:rsid w:val="00E37B9E"/>
    <w:rsid w:val="00E405C9"/>
    <w:rsid w:val="00E47C22"/>
    <w:rsid w:val="00E564AB"/>
    <w:rsid w:val="00E6665D"/>
    <w:rsid w:val="00E72764"/>
    <w:rsid w:val="00E72C51"/>
    <w:rsid w:val="00E856B8"/>
    <w:rsid w:val="00E9457B"/>
    <w:rsid w:val="00EA38CC"/>
    <w:rsid w:val="00EA545B"/>
    <w:rsid w:val="00EB49A1"/>
    <w:rsid w:val="00EB5B15"/>
    <w:rsid w:val="00EC1811"/>
    <w:rsid w:val="00EC65E9"/>
    <w:rsid w:val="00EE26CD"/>
    <w:rsid w:val="00EF23A3"/>
    <w:rsid w:val="00EF3A58"/>
    <w:rsid w:val="00EF4695"/>
    <w:rsid w:val="00F05BC7"/>
    <w:rsid w:val="00F22C7E"/>
    <w:rsid w:val="00F2713C"/>
    <w:rsid w:val="00F31A93"/>
    <w:rsid w:val="00F32B68"/>
    <w:rsid w:val="00F33414"/>
    <w:rsid w:val="00F35C21"/>
    <w:rsid w:val="00F544F9"/>
    <w:rsid w:val="00F5537C"/>
    <w:rsid w:val="00F565CE"/>
    <w:rsid w:val="00F57AB4"/>
    <w:rsid w:val="00F608B3"/>
    <w:rsid w:val="00F60E96"/>
    <w:rsid w:val="00F65DCE"/>
    <w:rsid w:val="00F6751B"/>
    <w:rsid w:val="00F7155F"/>
    <w:rsid w:val="00F7684E"/>
    <w:rsid w:val="00F82764"/>
    <w:rsid w:val="00F92E74"/>
    <w:rsid w:val="00FA0657"/>
    <w:rsid w:val="00FA479C"/>
    <w:rsid w:val="00FA79AA"/>
    <w:rsid w:val="00FB1CE6"/>
    <w:rsid w:val="00FB29D6"/>
    <w:rsid w:val="00FB2A2C"/>
    <w:rsid w:val="00FC3A0F"/>
    <w:rsid w:val="00FE2CFA"/>
    <w:rsid w:val="00FF1FDE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3B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A5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60E9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60E96"/>
    <w:rPr>
      <w:lang w:eastAsia="en-US"/>
    </w:rPr>
  </w:style>
  <w:style w:type="character" w:styleId="EndnoteReference">
    <w:name w:val="endnote reference"/>
    <w:uiPriority w:val="99"/>
    <w:semiHidden/>
    <w:unhideWhenUsed/>
    <w:rsid w:val="00F60E96"/>
    <w:rPr>
      <w:vertAlign w:val="superscript"/>
    </w:rPr>
  </w:style>
  <w:style w:type="character" w:styleId="Hyperlink">
    <w:name w:val="Hyperlink"/>
    <w:uiPriority w:val="99"/>
    <w:unhideWhenUsed/>
    <w:rsid w:val="0072158E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672F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6D"/>
    <w:rPr>
      <w:rFonts w:ascii="Tahoma" w:hAnsi="Tahoma" w:cs="Tahoma"/>
      <w:sz w:val="16"/>
      <w:szCs w:val="16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D7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D7"/>
    <w:rPr>
      <w:b/>
      <w:bCs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7B786B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90A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A5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60E9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60E96"/>
    <w:rPr>
      <w:lang w:eastAsia="en-US"/>
    </w:rPr>
  </w:style>
  <w:style w:type="character" w:styleId="EndnoteReference">
    <w:name w:val="endnote reference"/>
    <w:uiPriority w:val="99"/>
    <w:semiHidden/>
    <w:unhideWhenUsed/>
    <w:rsid w:val="00F60E96"/>
    <w:rPr>
      <w:vertAlign w:val="superscript"/>
    </w:rPr>
  </w:style>
  <w:style w:type="character" w:styleId="Hyperlink">
    <w:name w:val="Hyperlink"/>
    <w:uiPriority w:val="99"/>
    <w:unhideWhenUsed/>
    <w:rsid w:val="0072158E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672F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6D"/>
    <w:rPr>
      <w:rFonts w:ascii="Tahoma" w:hAnsi="Tahoma" w:cs="Tahoma"/>
      <w:sz w:val="16"/>
      <w:szCs w:val="16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7D7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7D7"/>
    <w:rPr>
      <w:b/>
      <w:bCs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7B786B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90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69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4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openxmlformats.org/officeDocument/2006/relationships/hyperlink" Target="http://nzetc.victoria.ac.nz//tm/scholarly/tei-ManPake.html" TargetMode="External"/><Relationship Id="rId21" Type="http://schemas.openxmlformats.org/officeDocument/2006/relationships/hyperlink" Target="http://www.enzb.auckland.ac.nz/document?wid=1057&amp;page=1&amp;action=null" TargetMode="External"/><Relationship Id="rId22" Type="http://schemas.openxmlformats.org/officeDocument/2006/relationships/hyperlink" Target="http://www.annshelton.com/publications/wastelands.pdf" TargetMode="External"/><Relationship Id="rId23" Type="http://schemas.openxmlformats.org/officeDocument/2006/relationships/hyperlink" Target="http://nzetc.victoria.ac.nz//tm/scholarly/tei-StaMaor.html" TargetMode="External"/><Relationship Id="rId24" Type="http://schemas.openxmlformats.org/officeDocument/2006/relationships/hyperlink" Target="http://muse.jhu.edu/books/9780824861308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nzetc.victoria.ac.nz/tm/scholarly/tei-BarLife.html" TargetMode="External"/><Relationship Id="rId11" Type="http://schemas.openxmlformats.org/officeDocument/2006/relationships/hyperlink" Target="http://nzetc.victoria.ac.nz/tm/scholarly/tei-ButErew.html" TargetMode="External"/><Relationship Id="rId12" Type="http://schemas.openxmlformats.org/officeDocument/2006/relationships/hyperlink" Target="http://nzetc.victoria.ac.nz//tm/scholarly/tei-ChaPhil.html" TargetMode="External"/><Relationship Id="rId13" Type="http://schemas.openxmlformats.org/officeDocument/2006/relationships/hyperlink" Target="http://nzetc.victoria.ac.nz//tm/scholarly/tei-ChaPhil.html" TargetMode="External"/><Relationship Id="rId14" Type="http://schemas.openxmlformats.org/officeDocument/2006/relationships/hyperlink" Target="http://nzetc.victoria.ac.nz//tm/scholarly/tei-DomRano.html" TargetMode="External"/><Relationship Id="rId15" Type="http://schemas.openxmlformats.org/officeDocument/2006/relationships/hyperlink" Target="http://www.gutenberg.org/ebooks/11933" TargetMode="External"/><Relationship Id="rId16" Type="http://schemas.openxmlformats.org/officeDocument/2006/relationships/hyperlink" Target="http://muse.jhu.edu/books/9780824861308/" TargetMode="External"/><Relationship Id="rId17" Type="http://schemas.openxmlformats.org/officeDocument/2006/relationships/hyperlink" Target="http://nzetc.victoria.ac.nz/tm/scholarly/tei-GrePoly.html" TargetMode="External"/><Relationship Id="rId18" Type="http://schemas.openxmlformats.org/officeDocument/2006/relationships/hyperlink" Target="http://www.publicfilms.co.nz/?page_id=30" TargetMode="External"/><Relationship Id="rId19" Type="http://schemas.openxmlformats.org/officeDocument/2006/relationships/hyperlink" Target="http://www.poemhunter.com/jessie-macka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ra.govt.nz/en/artwork/605/a-corner-of-australia-at-kerik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48FB-BAA1-114E-80E7-4283730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5040</Words>
  <Characters>28730</Characters>
  <Application>Microsoft Macintosh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33703</CharactersWithSpaces>
  <SharedDoc>false</SharedDoc>
  <HLinks>
    <vt:vector size="90" baseType="variant">
      <vt:variant>
        <vt:i4>1966168</vt:i4>
      </vt:variant>
      <vt:variant>
        <vt:i4>36</vt:i4>
      </vt:variant>
      <vt:variant>
        <vt:i4>0</vt:i4>
      </vt:variant>
      <vt:variant>
        <vt:i4>5</vt:i4>
      </vt:variant>
      <vt:variant>
        <vt:lpwstr>http://muse.jhu.edu/books/9780824861308/</vt:lpwstr>
      </vt:variant>
      <vt:variant>
        <vt:lpwstr/>
      </vt:variant>
      <vt:variant>
        <vt:i4>2162741</vt:i4>
      </vt:variant>
      <vt:variant>
        <vt:i4>33</vt:i4>
      </vt:variant>
      <vt:variant>
        <vt:i4>0</vt:i4>
      </vt:variant>
      <vt:variant>
        <vt:i4>5</vt:i4>
      </vt:variant>
      <vt:variant>
        <vt:lpwstr>http://nzetc.victoria.ac.nz//tm/scholarly/tei-StaMaor.html</vt:lpwstr>
      </vt:variant>
      <vt:variant>
        <vt:lpwstr/>
      </vt:variant>
      <vt:variant>
        <vt:i4>1900570</vt:i4>
      </vt:variant>
      <vt:variant>
        <vt:i4>30</vt:i4>
      </vt:variant>
      <vt:variant>
        <vt:i4>0</vt:i4>
      </vt:variant>
      <vt:variant>
        <vt:i4>5</vt:i4>
      </vt:variant>
      <vt:variant>
        <vt:lpwstr>http://www.annshelton.com/publications/wastelands.pdf</vt:lpwstr>
      </vt:variant>
      <vt:variant>
        <vt:lpwstr/>
      </vt:variant>
      <vt:variant>
        <vt:i4>3539053</vt:i4>
      </vt:variant>
      <vt:variant>
        <vt:i4>27</vt:i4>
      </vt:variant>
      <vt:variant>
        <vt:i4>0</vt:i4>
      </vt:variant>
      <vt:variant>
        <vt:i4>5</vt:i4>
      </vt:variant>
      <vt:variant>
        <vt:lpwstr>http://www.enzb.auckland.ac.nz/document?wid=1057&amp;page=1&amp;action=null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http://nzetc.victoria.ac.nz//tm/scholarly/tei-ManPake.html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http://www.poemhunter.com/jessie-mackay/</vt:lpwstr>
      </vt:variant>
      <vt:variant>
        <vt:lpwstr/>
      </vt:variant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http://muse.jhu.edu/books/9780824861308/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http://www.gutenberg.org/ebooks/11933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http://nzetc.victoria.ac.nz//tm/scholarly/tei-DomRano.html</vt:lpwstr>
      </vt:variant>
      <vt:variant>
        <vt:lpwstr/>
      </vt:variant>
      <vt:variant>
        <vt:i4>2490403</vt:i4>
      </vt:variant>
      <vt:variant>
        <vt:i4>9</vt:i4>
      </vt:variant>
      <vt:variant>
        <vt:i4>0</vt:i4>
      </vt:variant>
      <vt:variant>
        <vt:i4>5</vt:i4>
      </vt:variant>
      <vt:variant>
        <vt:lpwstr>http://rsnz.natlib.govt.nz/volume/rsnz_01/rsnz_01_00_002190.html</vt:lpwstr>
      </vt:variant>
      <vt:variant>
        <vt:lpwstr/>
      </vt:variant>
      <vt:variant>
        <vt:i4>2490418</vt:i4>
      </vt:variant>
      <vt:variant>
        <vt:i4>6</vt:i4>
      </vt:variant>
      <vt:variant>
        <vt:i4>0</vt:i4>
      </vt:variant>
      <vt:variant>
        <vt:i4>5</vt:i4>
      </vt:variant>
      <vt:variant>
        <vt:lpwstr>http://nzetc.victoria.ac.nz//tm/scholarly/tei-ChaPhil.html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http://nzetc.victoria.ac.nz/tm/scholarly/tei-ButErew.html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http://nzetc.victoria.ac.nz/tm/scholarly/tei-BarLife.html</vt:lpwstr>
      </vt:variant>
      <vt:variant>
        <vt:lpwstr/>
      </vt:variant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http://www.publicfilms.co.nz/?page_id=30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http://www.teara.govt.nz/en/artwork/605/a-corner-of-australia-at-kerikeri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Boswell</cp:lastModifiedBy>
  <cp:revision>2</cp:revision>
  <cp:lastPrinted>2014-03-30T23:55:00Z</cp:lastPrinted>
  <dcterms:created xsi:type="dcterms:W3CDTF">2015-03-10T18:44:00Z</dcterms:created>
  <dcterms:modified xsi:type="dcterms:W3CDTF">2015-03-10T18:44:00Z</dcterms:modified>
</cp:coreProperties>
</file>