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BF" w:rsidRDefault="00915D55" w:rsidP="002B5EBF">
      <w:pPr>
        <w:jc w:val="center"/>
        <w:rPr>
          <w:b/>
        </w:rPr>
      </w:pPr>
      <w:r w:rsidRPr="007C718A">
        <w:rPr>
          <w:b/>
        </w:rPr>
        <w:t>GENDER 208: THINKING GENDER</w:t>
      </w:r>
    </w:p>
    <w:p w:rsidR="002B5EBF" w:rsidRDefault="002B5EBF" w:rsidP="002B5EBF">
      <w:pPr>
        <w:jc w:val="center"/>
        <w:rPr>
          <w:b/>
        </w:rPr>
      </w:pPr>
      <w:r>
        <w:rPr>
          <w:b/>
        </w:rPr>
        <w:t>Semester 1</w:t>
      </w:r>
      <w:r w:rsidRPr="00647FD5">
        <w:rPr>
          <w:b/>
        </w:rPr>
        <w:t>, 201</w:t>
      </w:r>
      <w:r>
        <w:rPr>
          <w:b/>
        </w:rPr>
        <w:t>7</w:t>
      </w:r>
    </w:p>
    <w:p w:rsidR="002B5EBF" w:rsidRDefault="002B5EBF" w:rsidP="002B5EBF">
      <w:pPr>
        <w:jc w:val="center"/>
        <w:rPr>
          <w:b/>
        </w:rPr>
      </w:pPr>
    </w:p>
    <w:p w:rsidR="002B5EBF" w:rsidRDefault="002B5EBF" w:rsidP="002B5EBF">
      <w:pPr>
        <w:jc w:val="center"/>
        <w:rPr>
          <w:b/>
        </w:rPr>
      </w:pPr>
      <w:r>
        <w:rPr>
          <w:b/>
        </w:rPr>
        <w:t xml:space="preserve">Mondays 1:00 – 3:00 p.m.  </w:t>
      </w:r>
      <w:r w:rsidRPr="002B5EBF">
        <w:t>(Arts 1, Room 209)</w:t>
      </w:r>
    </w:p>
    <w:p w:rsidR="002B5EBF" w:rsidRDefault="002B5EBF" w:rsidP="002B5EBF">
      <w:pPr>
        <w:jc w:val="center"/>
        <w:rPr>
          <w:b/>
        </w:rPr>
      </w:pPr>
      <w:r>
        <w:rPr>
          <w:b/>
        </w:rPr>
        <w:t xml:space="preserve">Tuesdays 11:00 a.m. – Noon </w:t>
      </w:r>
      <w:r w:rsidRPr="002B5EBF">
        <w:t>(Biology Building, Room 204)</w:t>
      </w:r>
    </w:p>
    <w:p w:rsidR="002B5EBF" w:rsidRDefault="002B5EBF" w:rsidP="002B5EBF">
      <w:pPr>
        <w:rPr>
          <w:b/>
        </w:rPr>
      </w:pPr>
    </w:p>
    <w:p w:rsidR="007D55AF" w:rsidRDefault="007D55AF" w:rsidP="002B5EBF">
      <w:pPr>
        <w:rPr>
          <w:b/>
        </w:rPr>
      </w:pPr>
    </w:p>
    <w:p w:rsidR="00900A33" w:rsidRDefault="00900A33" w:rsidP="002B5EBF">
      <w:pPr>
        <w:rPr>
          <w:b/>
          <w:u w:val="single"/>
        </w:rPr>
      </w:pPr>
      <w:r>
        <w:rPr>
          <w:b/>
          <w:noProof/>
          <w:u w:val="single"/>
          <w:lang w:val="en-NZ" w:eastAsia="en-NZ"/>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144780</wp:posOffset>
            </wp:positionV>
            <wp:extent cx="2472055" cy="2734310"/>
            <wp:effectExtent l="0" t="0" r="0" b="0"/>
            <wp:wrapTight wrapText="bothSides">
              <wp:wrapPolygon edited="0">
                <wp:start x="0" y="201"/>
                <wp:lineTo x="0" y="21269"/>
                <wp:lineTo x="444" y="21269"/>
                <wp:lineTo x="21528" y="21269"/>
                <wp:lineTo x="21528" y="401"/>
                <wp:lineTo x="19752" y="201"/>
                <wp:lineTo x="0" y="201"/>
              </wp:wrapPolygon>
            </wp:wrapTight>
            <wp:docPr id="3" name="Picture 3" descr="smash patriarc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sh patriarchy.png"/>
                    <pic:cNvPicPr/>
                  </pic:nvPicPr>
                  <pic:blipFill>
                    <a:blip r:embed="rId7"/>
                    <a:stretch>
                      <a:fillRect/>
                    </a:stretch>
                  </pic:blipFill>
                  <pic:spPr>
                    <a:xfrm>
                      <a:off x="0" y="0"/>
                      <a:ext cx="2472055" cy="2734310"/>
                    </a:xfrm>
                    <a:prstGeom prst="rect">
                      <a:avLst/>
                    </a:prstGeom>
                  </pic:spPr>
                </pic:pic>
              </a:graphicData>
            </a:graphic>
          </wp:anchor>
        </w:drawing>
      </w:r>
    </w:p>
    <w:p w:rsidR="002B5EBF" w:rsidRPr="008E3A49" w:rsidRDefault="002B5EBF" w:rsidP="002B5EBF">
      <w:r w:rsidRPr="008E3A49">
        <w:rPr>
          <w:b/>
          <w:u w:val="single"/>
        </w:rPr>
        <w:t>Lecturer</w:t>
      </w:r>
      <w:r>
        <w:rPr>
          <w:b/>
          <w:u w:val="single"/>
        </w:rPr>
        <w:t>/Course Coordinator</w:t>
      </w:r>
      <w:r w:rsidRPr="008E3A49">
        <w:t xml:space="preserve">: </w:t>
      </w:r>
    </w:p>
    <w:p w:rsidR="00900A33" w:rsidRDefault="00900A33" w:rsidP="002B5EBF">
      <w:pPr>
        <w:rPr>
          <w:b/>
        </w:rPr>
      </w:pPr>
    </w:p>
    <w:p w:rsidR="002B5EBF" w:rsidRPr="008E3A49" w:rsidRDefault="002B5EBF" w:rsidP="002B5EBF">
      <w:r w:rsidRPr="008E3A49">
        <w:rPr>
          <w:b/>
        </w:rPr>
        <w:t>Dr. Carisa R. Showden</w:t>
      </w:r>
    </w:p>
    <w:p w:rsidR="002B5EBF" w:rsidRPr="008E3A49" w:rsidRDefault="002B5EBF" w:rsidP="002B5EBF">
      <w:r w:rsidRPr="008E3A49">
        <w:rPr>
          <w:u w:val="single"/>
        </w:rPr>
        <w:t>Email</w:t>
      </w:r>
      <w:r w:rsidRPr="008E3A49">
        <w:t xml:space="preserve">: </w:t>
      </w:r>
      <w:hyperlink r:id="rId8" w:history="1">
        <w:r w:rsidRPr="008E3A49">
          <w:rPr>
            <w:rStyle w:val="Hyperlink"/>
          </w:rPr>
          <w:t>c.showden@auckland.ac.nz</w:t>
        </w:r>
      </w:hyperlink>
    </w:p>
    <w:p w:rsidR="002B5EBF" w:rsidRPr="008E3A49" w:rsidRDefault="002B5EBF" w:rsidP="002B5EBF">
      <w:r w:rsidRPr="008E3A49">
        <w:rPr>
          <w:u w:val="single"/>
        </w:rPr>
        <w:t>Office Location</w:t>
      </w:r>
      <w:r w:rsidRPr="008E3A49">
        <w:t xml:space="preserve">: 913 </w:t>
      </w:r>
      <w:proofErr w:type="spellStart"/>
      <w:r w:rsidRPr="008E3A49">
        <w:t>HSB</w:t>
      </w:r>
      <w:proofErr w:type="spellEnd"/>
    </w:p>
    <w:p w:rsidR="002B5EBF" w:rsidRPr="008E3A49" w:rsidRDefault="002B5EBF" w:rsidP="002B5EBF">
      <w:r w:rsidRPr="008E3A49">
        <w:rPr>
          <w:u w:val="single"/>
        </w:rPr>
        <w:t>Office Phone extension</w:t>
      </w:r>
      <w:r w:rsidRPr="008E3A49">
        <w:t>: 82257</w:t>
      </w:r>
    </w:p>
    <w:p w:rsidR="002B5EBF" w:rsidRPr="008E3A49" w:rsidRDefault="002B5EBF" w:rsidP="002B5EBF"/>
    <w:p w:rsidR="002B5EBF" w:rsidRPr="008E3A49" w:rsidRDefault="002B5EBF" w:rsidP="002B5EBF">
      <w:pPr>
        <w:ind w:left="720"/>
      </w:pPr>
      <w:r w:rsidRPr="008E3A49">
        <w:rPr>
          <w:b/>
        </w:rPr>
        <w:t xml:space="preserve">Office Hours: </w:t>
      </w:r>
      <w:r w:rsidRPr="008E3A49">
        <w:t>Mondays: 3:15 – 4:15 p.m.</w:t>
      </w:r>
    </w:p>
    <w:p w:rsidR="002B5EBF" w:rsidRPr="008E3A49" w:rsidRDefault="002B5EBF" w:rsidP="002B5EBF">
      <w:pPr>
        <w:ind w:left="720"/>
      </w:pPr>
      <w:r w:rsidRPr="008E3A49">
        <w:t>Wednesdays: 1:15 – 2.45 p.m.</w:t>
      </w:r>
    </w:p>
    <w:p w:rsidR="002B5EBF" w:rsidRDefault="002B5EBF" w:rsidP="002B5EBF">
      <w:pPr>
        <w:ind w:left="720"/>
      </w:pPr>
      <w:r w:rsidRPr="008E3A49">
        <w:t>And by appointment</w:t>
      </w:r>
    </w:p>
    <w:p w:rsidR="002B5EBF" w:rsidRDefault="002B5EBF" w:rsidP="002B5EBF">
      <w:pPr>
        <w:rPr>
          <w:b/>
        </w:rPr>
      </w:pPr>
    </w:p>
    <w:p w:rsidR="002B5EBF" w:rsidRDefault="002B5EBF" w:rsidP="002B5EBF">
      <w:pPr>
        <w:rPr>
          <w:b/>
        </w:rPr>
      </w:pPr>
    </w:p>
    <w:p w:rsidR="003632DF" w:rsidRDefault="003632DF" w:rsidP="000C09F7">
      <w:pPr>
        <w:jc w:val="right"/>
        <w:rPr>
          <w:b/>
        </w:rPr>
      </w:pPr>
    </w:p>
    <w:p w:rsidR="008E3A49" w:rsidRPr="009C715E" w:rsidRDefault="008E3A49" w:rsidP="008E3A49">
      <w:pPr>
        <w:rPr>
          <w:b/>
        </w:rPr>
      </w:pPr>
      <w:r>
        <w:rPr>
          <w:b/>
        </w:rPr>
        <w:t>Course Catalog Description</w:t>
      </w:r>
    </w:p>
    <w:p w:rsidR="008E3A49" w:rsidRPr="006D1182" w:rsidRDefault="008E3A49" w:rsidP="008E3A49">
      <w:r w:rsidRPr="006D1182">
        <w:t>Explores current issues and debates in the scholarship on gender, focusing on issues that cross disciplinary boundaries and that are subjects of current debate in gender scholarship.</w:t>
      </w:r>
    </w:p>
    <w:p w:rsidR="00900A33" w:rsidRDefault="00900A33"/>
    <w:p w:rsidR="00900A33" w:rsidRPr="009C715E" w:rsidRDefault="00900A33" w:rsidP="00900A33">
      <w:pPr>
        <w:rPr>
          <w:b/>
        </w:rPr>
      </w:pPr>
      <w:r>
        <w:rPr>
          <w:b/>
        </w:rPr>
        <w:t>Expanded Course Description</w:t>
      </w:r>
    </w:p>
    <w:p w:rsidR="00900A33" w:rsidRDefault="00900A33" w:rsidP="00900A33">
      <w:r>
        <w:t xml:space="preserve">This course explores the interdisciplinary field of feminist theory, looking at the historical development of feminist theory across the humanities and social sciences, but emphasizing current developments in feminist theorizing around questions of identity, embodiment, </w:t>
      </w:r>
      <w:r w:rsidR="004E6CC3">
        <w:t xml:space="preserve">gender construction, </w:t>
      </w:r>
      <w:r>
        <w:t xml:space="preserve">and the relationship between gender and sexuality. The primary objective of this course is for students to develop a broad understanding of a range of feminist approaches to analyzing social structures, texts, and cultural phenomena so that they can compare and apply these approaches in their written academic work and everyday life. </w:t>
      </w:r>
    </w:p>
    <w:p w:rsidR="00900A33" w:rsidRDefault="00900A33" w:rsidP="00900A33"/>
    <w:p w:rsidR="00900A33" w:rsidRPr="00BC4775" w:rsidRDefault="00900A33" w:rsidP="00900A33">
      <w:r w:rsidRPr="00BC4775">
        <w:rPr>
          <w:b/>
        </w:rPr>
        <w:t>Prerequisites</w:t>
      </w:r>
    </w:p>
    <w:p w:rsidR="00900A33" w:rsidRDefault="00900A33" w:rsidP="00900A33">
      <w:r>
        <w:t>30 points passed.</w:t>
      </w:r>
    </w:p>
    <w:p w:rsidR="00900A33" w:rsidRDefault="00900A33" w:rsidP="00900A33">
      <w:pPr>
        <w:rPr>
          <w:b/>
        </w:rPr>
      </w:pPr>
    </w:p>
    <w:p w:rsidR="00900A33" w:rsidRPr="007C718A" w:rsidRDefault="00900A33" w:rsidP="00900A33">
      <w:pPr>
        <w:rPr>
          <w:b/>
        </w:rPr>
      </w:pPr>
      <w:r w:rsidRPr="007C718A">
        <w:rPr>
          <w:b/>
        </w:rPr>
        <w:t>Required Read</w:t>
      </w:r>
      <w:r>
        <w:rPr>
          <w:b/>
        </w:rPr>
        <w:t>ings/Texts</w:t>
      </w:r>
    </w:p>
    <w:p w:rsidR="00D347D7" w:rsidRDefault="00900A33" w:rsidP="00900A33">
      <w:pPr>
        <w:ind w:left="720"/>
      </w:pPr>
      <w:r>
        <w:t xml:space="preserve">1. </w:t>
      </w:r>
      <w:r w:rsidRPr="00647FD5">
        <w:rPr>
          <w:b/>
        </w:rPr>
        <w:t xml:space="preserve">Gay, Roxanne. 2014. </w:t>
      </w:r>
      <w:r w:rsidRPr="00647FD5">
        <w:rPr>
          <w:b/>
          <w:i/>
        </w:rPr>
        <w:t>Bad Feminist: Essays</w:t>
      </w:r>
      <w:r w:rsidRPr="00647FD5">
        <w:rPr>
          <w:b/>
        </w:rPr>
        <w:t>.</w:t>
      </w:r>
      <w:r>
        <w:t xml:space="preserve"> Harper Collins/Corsair: New York/London. </w:t>
      </w:r>
      <w:r w:rsidRPr="00647FD5">
        <w:t>Available for purchase at UBS.</w:t>
      </w:r>
      <w:r w:rsidR="00F73A29">
        <w:t xml:space="preserve"> (Readings are </w:t>
      </w:r>
      <w:r w:rsidR="00F73A29">
        <w:rPr>
          <w:i/>
        </w:rPr>
        <w:t>not</w:t>
      </w:r>
      <w:r w:rsidR="00F73A29">
        <w:t xml:space="preserve"> reprinted in the course reader.)</w:t>
      </w:r>
    </w:p>
    <w:p w:rsidR="00900A33" w:rsidRPr="00D347D7" w:rsidRDefault="00900A33" w:rsidP="00900A33">
      <w:pPr>
        <w:ind w:left="720"/>
        <w:rPr>
          <w:b/>
        </w:rPr>
      </w:pPr>
    </w:p>
    <w:p w:rsidR="00D347D7" w:rsidRDefault="00900A33" w:rsidP="008A1A8B">
      <w:pPr>
        <w:spacing w:after="120"/>
        <w:ind w:left="720"/>
      </w:pPr>
      <w:r>
        <w:t xml:space="preserve">2. </w:t>
      </w:r>
      <w:r w:rsidRPr="00647FD5">
        <w:rPr>
          <w:b/>
        </w:rPr>
        <w:t>GENDER 208 Course Reader</w:t>
      </w:r>
      <w:r>
        <w:t xml:space="preserve">. Hard copy available at UBS; electronic copies of individual readings available through </w:t>
      </w:r>
      <w:proofErr w:type="spellStart"/>
      <w:r>
        <w:t>TALIS</w:t>
      </w:r>
      <w:proofErr w:type="spellEnd"/>
      <w:r>
        <w:t xml:space="preserve"> (accessible through course CANVAS page)</w:t>
      </w:r>
      <w:r w:rsidR="00D347D7">
        <w:t>.</w:t>
      </w:r>
    </w:p>
    <w:p w:rsidR="00900A33" w:rsidRDefault="00D347D7" w:rsidP="008A1A8B">
      <w:pPr>
        <w:ind w:left="720"/>
        <w:jc w:val="right"/>
      </w:pPr>
      <w:r>
        <w:rPr>
          <w:noProof/>
          <w:lang w:val="en-NZ" w:eastAsia="en-NZ"/>
        </w:rPr>
        <w:drawing>
          <wp:inline distT="0" distB="0" distL="0" distR="0">
            <wp:extent cx="3168896" cy="914400"/>
            <wp:effectExtent l="25400" t="0" r="6104" b="0"/>
            <wp:docPr id="7" name="Picture 6" descr="gesder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derstudies.jpg"/>
                    <pic:cNvPicPr/>
                  </pic:nvPicPr>
                  <pic:blipFill>
                    <a:blip r:embed="rId9"/>
                    <a:stretch>
                      <a:fillRect/>
                    </a:stretch>
                  </pic:blipFill>
                  <pic:spPr>
                    <a:xfrm>
                      <a:off x="0" y="0"/>
                      <a:ext cx="3168896" cy="914400"/>
                    </a:xfrm>
                    <a:prstGeom prst="rect">
                      <a:avLst/>
                    </a:prstGeom>
                  </pic:spPr>
                </pic:pic>
              </a:graphicData>
            </a:graphic>
          </wp:inline>
        </w:drawing>
      </w:r>
    </w:p>
    <w:p w:rsidR="00900A33" w:rsidRPr="000F371F" w:rsidRDefault="0006750E" w:rsidP="00900A33">
      <w:r>
        <w:rPr>
          <w:noProof/>
          <w:lang w:val="en-NZ" w:eastAsia="en-NZ"/>
        </w:rPr>
        <w:lastRenderedPageBreak/>
        <w:drawing>
          <wp:anchor distT="0" distB="0" distL="114300" distR="114300" simplePos="0" relativeHeight="251659264" behindDoc="0" locked="0" layoutInCell="1" allowOverlap="1">
            <wp:simplePos x="0" y="0"/>
            <wp:positionH relativeFrom="column">
              <wp:posOffset>25400</wp:posOffset>
            </wp:positionH>
            <wp:positionV relativeFrom="paragraph">
              <wp:posOffset>0</wp:posOffset>
            </wp:positionV>
            <wp:extent cx="1625600" cy="2167467"/>
            <wp:effectExtent l="25400" t="0" r="0" b="0"/>
            <wp:wrapTight wrapText="bothSides">
              <wp:wrapPolygon edited="0">
                <wp:start x="-338" y="0"/>
                <wp:lineTo x="-338" y="21516"/>
                <wp:lineTo x="21600" y="21516"/>
                <wp:lineTo x="21600" y="0"/>
                <wp:lineTo x="-338" y="0"/>
              </wp:wrapPolygon>
            </wp:wrapTight>
            <wp:docPr id="2" name="Picture 2" descr="feminist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inist symbol.jpg"/>
                    <pic:cNvPicPr/>
                  </pic:nvPicPr>
                  <pic:blipFill>
                    <a:blip r:embed="rId10"/>
                    <a:stretch>
                      <a:fillRect/>
                    </a:stretch>
                  </pic:blipFill>
                  <pic:spPr>
                    <a:xfrm>
                      <a:off x="0" y="0"/>
                      <a:ext cx="1625600" cy="2167467"/>
                    </a:xfrm>
                    <a:prstGeom prst="rect">
                      <a:avLst/>
                    </a:prstGeom>
                  </pic:spPr>
                </pic:pic>
              </a:graphicData>
            </a:graphic>
          </wp:anchor>
        </w:drawing>
      </w:r>
    </w:p>
    <w:p w:rsidR="000F371F" w:rsidRDefault="000F371F" w:rsidP="00900A33">
      <w:pPr>
        <w:rPr>
          <w:b/>
        </w:rPr>
      </w:pPr>
    </w:p>
    <w:p w:rsidR="00900A33" w:rsidRPr="009C715E" w:rsidRDefault="00900A33" w:rsidP="00900A33">
      <w:pPr>
        <w:rPr>
          <w:b/>
        </w:rPr>
      </w:pPr>
      <w:r>
        <w:rPr>
          <w:b/>
        </w:rPr>
        <w:t>Assessments</w:t>
      </w:r>
    </w:p>
    <w:p w:rsidR="00B13BD9" w:rsidRDefault="00815D73" w:rsidP="00EA6EE6">
      <w:pPr>
        <w:pStyle w:val="ListParagraph"/>
        <w:numPr>
          <w:ilvl w:val="0"/>
          <w:numId w:val="15"/>
        </w:numPr>
      </w:pPr>
      <w:r>
        <w:t>Reading Analysis</w:t>
      </w:r>
      <w:r w:rsidR="004A33CC">
        <w:t xml:space="preserve"> I</w:t>
      </w:r>
      <w:r>
        <w:t xml:space="preserve"> (shorter)</w:t>
      </w:r>
      <w:r w:rsidR="00CC1FEB">
        <w:t xml:space="preserve"> (</w:t>
      </w:r>
      <w:r>
        <w:t>500-600</w:t>
      </w:r>
      <w:r w:rsidR="00B13BD9">
        <w:t xml:space="preserve"> words)</w:t>
      </w:r>
    </w:p>
    <w:p w:rsidR="00CC1FEB" w:rsidRDefault="00815D73" w:rsidP="00EA6EE6">
      <w:pPr>
        <w:pStyle w:val="ListParagraph"/>
        <w:numPr>
          <w:ilvl w:val="0"/>
          <w:numId w:val="15"/>
        </w:numPr>
      </w:pPr>
      <w:r>
        <w:t xml:space="preserve">Reading Analysis </w:t>
      </w:r>
      <w:r w:rsidR="004A33CC">
        <w:t xml:space="preserve">II </w:t>
      </w:r>
      <w:r>
        <w:t>(comparative/longer</w:t>
      </w:r>
      <w:r w:rsidR="004A33CC">
        <w:t>)</w:t>
      </w:r>
      <w:r w:rsidR="00900A33">
        <w:t>: (</w:t>
      </w:r>
      <w:r>
        <w:t>900</w:t>
      </w:r>
      <w:r w:rsidR="00B13BD9">
        <w:t xml:space="preserve"> words)</w:t>
      </w:r>
    </w:p>
    <w:p w:rsidR="00900A33" w:rsidRDefault="00CC1FEB" w:rsidP="00EA6EE6">
      <w:pPr>
        <w:pStyle w:val="ListParagraph"/>
        <w:numPr>
          <w:ilvl w:val="0"/>
          <w:numId w:val="15"/>
        </w:numPr>
      </w:pPr>
      <w:r>
        <w:t>Feminist Theory Mix Tape (1</w:t>
      </w:r>
      <w:r w:rsidR="00815D73">
        <w:t>5</w:t>
      </w:r>
      <w:r w:rsidR="00B13BD9">
        <w:t>00 words)</w:t>
      </w:r>
    </w:p>
    <w:p w:rsidR="00900A33" w:rsidRDefault="00B13BD9" w:rsidP="00EA6EE6">
      <w:pPr>
        <w:pStyle w:val="ListParagraph"/>
        <w:numPr>
          <w:ilvl w:val="0"/>
          <w:numId w:val="15"/>
        </w:numPr>
      </w:pPr>
      <w:r>
        <w:t>Final exam (2 hours)</w:t>
      </w:r>
    </w:p>
    <w:p w:rsidR="00900A33" w:rsidRDefault="00900A33" w:rsidP="003632DF">
      <w:pPr>
        <w:rPr>
          <w:b/>
          <w:sz w:val="28"/>
          <w:szCs w:val="28"/>
        </w:rPr>
      </w:pPr>
    </w:p>
    <w:p w:rsidR="000F371F" w:rsidRDefault="000F371F" w:rsidP="003632DF">
      <w:pPr>
        <w:rPr>
          <w:b/>
          <w:sz w:val="28"/>
          <w:szCs w:val="28"/>
        </w:rPr>
      </w:pPr>
    </w:p>
    <w:p w:rsidR="000F371F" w:rsidRDefault="000F371F" w:rsidP="003632DF">
      <w:pPr>
        <w:rPr>
          <w:b/>
          <w:sz w:val="28"/>
          <w:szCs w:val="28"/>
        </w:rPr>
      </w:pPr>
    </w:p>
    <w:p w:rsidR="00900A33" w:rsidRDefault="00900A33" w:rsidP="003632DF">
      <w:pPr>
        <w:rPr>
          <w:b/>
          <w:sz w:val="28"/>
          <w:szCs w:val="28"/>
        </w:rPr>
      </w:pPr>
    </w:p>
    <w:p w:rsidR="00B13BD9" w:rsidRDefault="00B13BD9" w:rsidP="00FD64DF">
      <w:pPr>
        <w:rPr>
          <w:b/>
        </w:rPr>
      </w:pPr>
    </w:p>
    <w:p w:rsidR="00FD64DF" w:rsidRDefault="00A357A6" w:rsidP="00FD64DF">
      <w:pPr>
        <w:rPr>
          <w:b/>
        </w:rPr>
      </w:pPr>
      <w:r>
        <w:rPr>
          <w:b/>
        </w:rPr>
        <w:t>a</w:t>
      </w:r>
      <w:r w:rsidR="00FD64DF">
        <w:rPr>
          <w:b/>
        </w:rPr>
        <w:t xml:space="preserve">) </w:t>
      </w:r>
      <w:r w:rsidR="004A33CC">
        <w:rPr>
          <w:b/>
        </w:rPr>
        <w:t>Reading Analysis</w:t>
      </w:r>
      <w:r w:rsidR="008472A4">
        <w:rPr>
          <w:b/>
        </w:rPr>
        <w:t xml:space="preserve"> </w:t>
      </w:r>
      <w:r w:rsidR="004A33CC">
        <w:rPr>
          <w:b/>
        </w:rPr>
        <w:t xml:space="preserve">I </w:t>
      </w:r>
      <w:r w:rsidR="008472A4">
        <w:rPr>
          <w:b/>
        </w:rPr>
        <w:t>(15% of final mark)</w:t>
      </w:r>
    </w:p>
    <w:p w:rsidR="00FD64DF" w:rsidRPr="00F73A29" w:rsidRDefault="00FD64DF" w:rsidP="00FD64DF">
      <w:pPr>
        <w:rPr>
          <w:b/>
          <w:color w:val="FF0000"/>
        </w:rPr>
      </w:pPr>
      <w:r w:rsidRPr="00F73A29">
        <w:rPr>
          <w:b/>
          <w:color w:val="FF0000"/>
        </w:rPr>
        <w:t>Due</w:t>
      </w:r>
      <w:r w:rsidR="00187A5D">
        <w:rPr>
          <w:b/>
          <w:color w:val="FF0000"/>
        </w:rPr>
        <w:t xml:space="preserve"> Date</w:t>
      </w:r>
      <w:r w:rsidRPr="009B45A0">
        <w:rPr>
          <w:b/>
          <w:color w:val="FF0000"/>
        </w:rPr>
        <w:t>:</w:t>
      </w:r>
      <w:r w:rsidR="00F73A29" w:rsidRPr="009B45A0">
        <w:rPr>
          <w:b/>
        </w:rPr>
        <w:t xml:space="preserve"> </w:t>
      </w:r>
      <w:r w:rsidR="00A357A6" w:rsidRPr="009B45A0">
        <w:rPr>
          <w:b/>
        </w:rPr>
        <w:t>Monday March 13</w:t>
      </w:r>
      <w:r w:rsidR="00A357A6" w:rsidRPr="009B45A0">
        <w:rPr>
          <w:b/>
          <w:vertAlign w:val="superscript"/>
        </w:rPr>
        <w:t>th</w:t>
      </w:r>
      <w:r w:rsidR="00187A5D">
        <w:rPr>
          <w:b/>
        </w:rPr>
        <w:t xml:space="preserve"> (beginning of class)</w:t>
      </w:r>
    </w:p>
    <w:p w:rsidR="00FD64DF" w:rsidRPr="0042496F" w:rsidRDefault="00FD64DF" w:rsidP="004E6CC3">
      <w:pPr>
        <w:ind w:left="720"/>
      </w:pPr>
      <w:r>
        <w:rPr>
          <w:b/>
        </w:rPr>
        <w:t>Overview:</w:t>
      </w:r>
      <w:r>
        <w:t xml:space="preserve"> </w:t>
      </w:r>
      <w:r w:rsidR="004A33CC">
        <w:rPr>
          <w:b/>
        </w:rPr>
        <w:t>Reading/argument</w:t>
      </w:r>
      <w:r w:rsidR="004E6CC3">
        <w:rPr>
          <w:b/>
        </w:rPr>
        <w:t xml:space="preserve"> analysis</w:t>
      </w:r>
      <w:r>
        <w:rPr>
          <w:b/>
        </w:rPr>
        <w:t xml:space="preserve">: </w:t>
      </w:r>
      <w:r w:rsidR="00187A5D">
        <w:t xml:space="preserve">To </w:t>
      </w:r>
      <w:r w:rsidR="004A33CC">
        <w:t>develop your skills analyzing theoretical works, you will write a response to one quote that I provide you from the Week 2 readings. In this analysis, you will explain the author’s meaning in the quote (what problem are they describing, how is it related to other parts of their argument, etc.) and offer your response to the ideas the quote raised.</w:t>
      </w:r>
    </w:p>
    <w:p w:rsidR="00FD64DF" w:rsidRDefault="00B13BD9" w:rsidP="004E6CC3">
      <w:pPr>
        <w:ind w:left="720"/>
        <w:rPr>
          <w:b/>
        </w:rPr>
      </w:pPr>
      <w:r>
        <w:rPr>
          <w:b/>
        </w:rPr>
        <w:t>See the</w:t>
      </w:r>
      <w:r w:rsidR="00FD64DF">
        <w:rPr>
          <w:b/>
        </w:rPr>
        <w:t xml:space="preserve"> </w:t>
      </w:r>
      <w:r w:rsidR="008055DB">
        <w:rPr>
          <w:b/>
        </w:rPr>
        <w:t>“</w:t>
      </w:r>
      <w:r w:rsidR="00FD64DF">
        <w:rPr>
          <w:b/>
        </w:rPr>
        <w:t xml:space="preserve">Reading Analysis </w:t>
      </w:r>
      <w:r w:rsidR="004A33CC">
        <w:rPr>
          <w:b/>
        </w:rPr>
        <w:t>I</w:t>
      </w:r>
      <w:r w:rsidR="008055DB">
        <w:rPr>
          <w:b/>
        </w:rPr>
        <w:t xml:space="preserve"> (shorter)”</w:t>
      </w:r>
      <w:r w:rsidR="00C87F68">
        <w:rPr>
          <w:b/>
        </w:rPr>
        <w:t xml:space="preserve"> Assignment</w:t>
      </w:r>
      <w:r w:rsidR="00187A5D">
        <w:rPr>
          <w:b/>
        </w:rPr>
        <w:t xml:space="preserve"> </w:t>
      </w:r>
      <w:r w:rsidR="00FD64DF">
        <w:rPr>
          <w:b/>
        </w:rPr>
        <w:t>sheet on Canvas for further details on this assignment.</w:t>
      </w:r>
    </w:p>
    <w:p w:rsidR="00F73A29" w:rsidRDefault="00F73A29" w:rsidP="00FD64DF">
      <w:pPr>
        <w:rPr>
          <w:b/>
        </w:rPr>
      </w:pPr>
    </w:p>
    <w:p w:rsidR="00187A5D" w:rsidRDefault="00F73A29" w:rsidP="00FD64DF">
      <w:pPr>
        <w:rPr>
          <w:b/>
        </w:rPr>
      </w:pPr>
      <w:r w:rsidRPr="00C87F68">
        <w:rPr>
          <w:b/>
        </w:rPr>
        <w:t xml:space="preserve">b) </w:t>
      </w:r>
      <w:r w:rsidR="004A33CC">
        <w:rPr>
          <w:b/>
        </w:rPr>
        <w:t>Reading Analysis II</w:t>
      </w:r>
      <w:r w:rsidR="008055DB">
        <w:rPr>
          <w:b/>
        </w:rPr>
        <w:t xml:space="preserve"> (25</w:t>
      </w:r>
      <w:r w:rsidR="008472A4">
        <w:rPr>
          <w:b/>
        </w:rPr>
        <w:t>% of final mark)</w:t>
      </w:r>
    </w:p>
    <w:p w:rsidR="00C87F68" w:rsidRDefault="00187A5D" w:rsidP="00FD64DF">
      <w:pPr>
        <w:rPr>
          <w:b/>
        </w:rPr>
      </w:pPr>
      <w:r w:rsidRPr="00516040">
        <w:rPr>
          <w:b/>
          <w:color w:val="FF0000"/>
        </w:rPr>
        <w:t>Due Date:</w:t>
      </w:r>
      <w:r w:rsidR="003D7B03">
        <w:rPr>
          <w:b/>
        </w:rPr>
        <w:t xml:space="preserve"> </w:t>
      </w:r>
      <w:r w:rsidR="008055DB">
        <w:rPr>
          <w:b/>
        </w:rPr>
        <w:t>Monday, 10 April</w:t>
      </w:r>
      <w:r w:rsidR="003D7B03">
        <w:rPr>
          <w:b/>
        </w:rPr>
        <w:t xml:space="preserve"> (b</w:t>
      </w:r>
      <w:r w:rsidR="008055DB">
        <w:rPr>
          <w:b/>
        </w:rPr>
        <w:t>eginning of class</w:t>
      </w:r>
      <w:r w:rsidR="003D7B03">
        <w:rPr>
          <w:b/>
        </w:rPr>
        <w:t>)</w:t>
      </w:r>
    </w:p>
    <w:p w:rsidR="008055DB" w:rsidRPr="00B13BD9" w:rsidRDefault="00C87F68" w:rsidP="00C87F68">
      <w:pPr>
        <w:ind w:left="720"/>
      </w:pPr>
      <w:r>
        <w:rPr>
          <w:b/>
        </w:rPr>
        <w:t xml:space="preserve">Overview: </w:t>
      </w:r>
      <w:r w:rsidR="008055DB">
        <w:rPr>
          <w:b/>
        </w:rPr>
        <w:t>Comparative argument analysis</w:t>
      </w:r>
      <w:r>
        <w:rPr>
          <w:b/>
        </w:rPr>
        <w:t xml:space="preserve">: </w:t>
      </w:r>
      <w:r w:rsidR="00B13BD9">
        <w:t>Building on the skills from the first assessment, in this argument analysis, you will analyze quotes from two authors, comparing, e.g., their diagnoses of problems, the solutions they offer, their logic (etc.), as well as your response to these arguments.</w:t>
      </w:r>
    </w:p>
    <w:p w:rsidR="00D658A0" w:rsidRPr="00C87F68" w:rsidRDefault="00C87F68" w:rsidP="00C87F68">
      <w:pPr>
        <w:ind w:left="720"/>
        <w:rPr>
          <w:b/>
        </w:rPr>
      </w:pPr>
      <w:r>
        <w:rPr>
          <w:b/>
        </w:rPr>
        <w:t xml:space="preserve">See the </w:t>
      </w:r>
      <w:r w:rsidR="008055DB">
        <w:rPr>
          <w:b/>
        </w:rPr>
        <w:t>“Reading Analysis II (comparati</w:t>
      </w:r>
      <w:r w:rsidR="00B13BD9">
        <w:rPr>
          <w:b/>
        </w:rPr>
        <w:t>v</w:t>
      </w:r>
      <w:r w:rsidR="008055DB">
        <w:rPr>
          <w:b/>
        </w:rPr>
        <w:t>e)”</w:t>
      </w:r>
      <w:r>
        <w:rPr>
          <w:b/>
        </w:rPr>
        <w:t xml:space="preserve"> Assignment Sheet on Canvas for further details on this assignment. </w:t>
      </w:r>
    </w:p>
    <w:p w:rsidR="00D658A0" w:rsidRDefault="00D658A0" w:rsidP="00FD64DF">
      <w:pPr>
        <w:rPr>
          <w:b/>
        </w:rPr>
      </w:pPr>
    </w:p>
    <w:p w:rsidR="00D658A0" w:rsidRDefault="00D658A0" w:rsidP="00D658A0">
      <w:pPr>
        <w:rPr>
          <w:b/>
        </w:rPr>
      </w:pPr>
      <w:r>
        <w:rPr>
          <w:b/>
        </w:rPr>
        <w:t xml:space="preserve">c) </w:t>
      </w:r>
      <w:r w:rsidR="00516040">
        <w:rPr>
          <w:b/>
        </w:rPr>
        <w:t>Feminist Theory Mix Tape</w:t>
      </w:r>
      <w:r w:rsidR="008472A4">
        <w:rPr>
          <w:b/>
        </w:rPr>
        <w:t xml:space="preserve"> (25% of final mark)</w:t>
      </w:r>
    </w:p>
    <w:p w:rsidR="00D658A0" w:rsidRDefault="00D658A0" w:rsidP="00D658A0">
      <w:pPr>
        <w:rPr>
          <w:b/>
        </w:rPr>
      </w:pPr>
      <w:r w:rsidRPr="00C87F68">
        <w:rPr>
          <w:b/>
          <w:color w:val="FF0000"/>
        </w:rPr>
        <w:t>Due</w:t>
      </w:r>
      <w:r w:rsidR="00C87F68" w:rsidRPr="00C87F68">
        <w:rPr>
          <w:b/>
          <w:color w:val="FF0000"/>
        </w:rPr>
        <w:t xml:space="preserve"> Date</w:t>
      </w:r>
      <w:r w:rsidRPr="00C87F68">
        <w:rPr>
          <w:b/>
          <w:color w:val="FF0000"/>
        </w:rPr>
        <w:t>:</w:t>
      </w:r>
      <w:r>
        <w:rPr>
          <w:b/>
        </w:rPr>
        <w:t xml:space="preserve"> </w:t>
      </w:r>
      <w:r w:rsidR="00C87F68">
        <w:rPr>
          <w:b/>
        </w:rPr>
        <w:t>Thursday, May 25</w:t>
      </w:r>
      <w:r w:rsidR="00C87F68" w:rsidRPr="00C87F68">
        <w:rPr>
          <w:b/>
          <w:vertAlign w:val="superscript"/>
        </w:rPr>
        <w:t>th</w:t>
      </w:r>
      <w:r>
        <w:rPr>
          <w:b/>
          <w:vertAlign w:val="superscript"/>
        </w:rPr>
        <w:t xml:space="preserve"> </w:t>
      </w:r>
      <w:r w:rsidR="00C87F68">
        <w:rPr>
          <w:b/>
          <w:vertAlign w:val="superscript"/>
        </w:rPr>
        <w:t>(</w:t>
      </w:r>
      <w:r>
        <w:rPr>
          <w:b/>
        </w:rPr>
        <w:t>by 4.00 p.m.</w:t>
      </w:r>
      <w:r w:rsidR="00C87F68">
        <w:rPr>
          <w:b/>
        </w:rPr>
        <w:t xml:space="preserve"> to ARTS 1 and </w:t>
      </w:r>
      <w:proofErr w:type="spellStart"/>
      <w:r w:rsidR="00C87F68">
        <w:rPr>
          <w:b/>
        </w:rPr>
        <w:t>TurnItIn</w:t>
      </w:r>
      <w:proofErr w:type="spellEnd"/>
      <w:r w:rsidR="00C87F68">
        <w:rPr>
          <w:b/>
        </w:rPr>
        <w:t>)</w:t>
      </w:r>
    </w:p>
    <w:p w:rsidR="00D658A0" w:rsidRDefault="00D658A0" w:rsidP="00D658A0">
      <w:pPr>
        <w:ind w:left="720"/>
      </w:pPr>
      <w:r>
        <w:rPr>
          <w:b/>
        </w:rPr>
        <w:t xml:space="preserve">Overview: “Feminist Theory Mix Tape.” </w:t>
      </w:r>
      <w:r>
        <w:t xml:space="preserve">This assessment (comprising approximately 1400 words of writing plus a creative component) will require you to think about how theory is developed in the service of making sense of every day life, how theory is something we “do” all the time, and how “theory” is expressed in a variety of cultural formats. That is, we are thinking gender and doing theory all the time, even when it’s not obvious. In this assignment you will analyze where and how “gender theory” is happening in </w:t>
      </w:r>
      <w:r w:rsidR="00B13BD9">
        <w:t xml:space="preserve">forums where it is perhaps </w:t>
      </w:r>
      <w:r>
        <w:t>less obvious than in academic work.</w:t>
      </w:r>
    </w:p>
    <w:p w:rsidR="00D658A0" w:rsidRPr="00157AAE" w:rsidRDefault="00B13BD9" w:rsidP="00B13BD9">
      <w:pPr>
        <w:ind w:left="720" w:firstLine="720"/>
      </w:pPr>
      <w:r>
        <w:t>To this end, t</w:t>
      </w:r>
      <w:r w:rsidR="00D658A0">
        <w:t xml:space="preserve">hroughout the course of the semester, you should be keeping track of events, creative works, or daily practices that illustrate key themes from the readings we do each week. In this assignment you will write up the “liner notes” for your “mix tape,” explaining why each song, poem, movie, etc. serves as a good example of the themes for the topic it is to represent. This assignment </w:t>
      </w:r>
      <w:r w:rsidR="00B46B6E">
        <w:t>is designed to</w:t>
      </w:r>
      <w:r w:rsidR="00D658A0">
        <w:t xml:space="preserve"> help you solidify knowledge and make connections across the course material.</w:t>
      </w:r>
      <w:r>
        <w:t xml:space="preserve"> It will </w:t>
      </w:r>
      <w:r w:rsidR="00B46B6E">
        <w:t xml:space="preserve">also </w:t>
      </w:r>
      <w:r>
        <w:t>enable you to hone your argument analysis skills as developed in the first two assessments.</w:t>
      </w:r>
      <w:r w:rsidR="00D658A0">
        <w:t xml:space="preserve"> And </w:t>
      </w:r>
      <w:r>
        <w:t>it</w:t>
      </w:r>
      <w:r w:rsidR="00D658A0">
        <w:t xml:space="preserve"> should be a great aid as you start thinking about the final exam.</w:t>
      </w:r>
    </w:p>
    <w:p w:rsidR="00D658A0" w:rsidRDefault="00D658A0" w:rsidP="00D658A0">
      <w:pPr>
        <w:ind w:left="720"/>
        <w:rPr>
          <w:b/>
        </w:rPr>
      </w:pPr>
      <w:r>
        <w:rPr>
          <w:b/>
        </w:rPr>
        <w:t>See the “Feminist Theory Mix Tape” Assignment sheet on Canvas for further details on this assignment.</w:t>
      </w:r>
    </w:p>
    <w:p w:rsidR="00D658A0" w:rsidRDefault="00D658A0" w:rsidP="00D658A0">
      <w:pPr>
        <w:rPr>
          <w:b/>
        </w:rPr>
      </w:pPr>
    </w:p>
    <w:p w:rsidR="00FD64DF" w:rsidRDefault="00D658A0" w:rsidP="00FD64DF">
      <w:pPr>
        <w:rPr>
          <w:b/>
        </w:rPr>
      </w:pPr>
      <w:r>
        <w:rPr>
          <w:b/>
        </w:rPr>
        <w:lastRenderedPageBreak/>
        <w:t>d</w:t>
      </w:r>
      <w:r w:rsidR="00FD64DF">
        <w:rPr>
          <w:b/>
        </w:rPr>
        <w:t>) Final Exam (30% of final mark)</w:t>
      </w:r>
    </w:p>
    <w:p w:rsidR="00FD64DF" w:rsidRDefault="00FD64DF" w:rsidP="00FD64DF">
      <w:pPr>
        <w:rPr>
          <w:b/>
        </w:rPr>
      </w:pPr>
      <w:r w:rsidRPr="009B45A0">
        <w:rPr>
          <w:b/>
          <w:color w:val="FF0000"/>
        </w:rPr>
        <w:t>Due Date:</w:t>
      </w:r>
      <w:r>
        <w:rPr>
          <w:b/>
        </w:rPr>
        <w:t xml:space="preserve"> TBD by exams office </w:t>
      </w:r>
    </w:p>
    <w:p w:rsidR="00FD64DF" w:rsidRPr="00300B59" w:rsidRDefault="00FD64DF" w:rsidP="009B45A0">
      <w:pPr>
        <w:ind w:left="720"/>
        <w:rPr>
          <w:b/>
        </w:rPr>
      </w:pPr>
      <w:r>
        <w:rPr>
          <w:b/>
        </w:rPr>
        <w:t xml:space="preserve">Overview: </w:t>
      </w:r>
      <w:r>
        <w:t>Mixed short answer &amp; e</w:t>
      </w:r>
      <w:r w:rsidRPr="007C718A">
        <w:t>ssay format.</w:t>
      </w:r>
      <w:r>
        <w:rPr>
          <w:b/>
        </w:rPr>
        <w:t xml:space="preserve"> </w:t>
      </w:r>
      <w:r>
        <w:t>Further details on the final exam will be offered later in the semester.</w:t>
      </w:r>
    </w:p>
    <w:p w:rsidR="00900A33" w:rsidRDefault="00900A33" w:rsidP="003632DF">
      <w:pPr>
        <w:rPr>
          <w:b/>
          <w:sz w:val="28"/>
          <w:szCs w:val="28"/>
        </w:rPr>
      </w:pPr>
    </w:p>
    <w:p w:rsidR="009C3691" w:rsidRDefault="009C3691" w:rsidP="007610AB">
      <w:pPr>
        <w:rPr>
          <w:b/>
        </w:rPr>
      </w:pPr>
    </w:p>
    <w:p w:rsidR="007610AB" w:rsidRPr="00CD5AB1" w:rsidRDefault="007610AB" w:rsidP="007610AB">
      <w:pPr>
        <w:rPr>
          <w:b/>
        </w:rPr>
      </w:pPr>
      <w:r>
        <w:rPr>
          <w:b/>
        </w:rPr>
        <w:t>Essential Policies and Procedures</w:t>
      </w:r>
    </w:p>
    <w:p w:rsidR="007610AB" w:rsidRDefault="007610AB" w:rsidP="007610AB">
      <w:r>
        <w:rPr>
          <w:i/>
        </w:rPr>
        <w:t>Academic Integrity:</w:t>
      </w:r>
    </w:p>
    <w:p w:rsidR="007610AB" w:rsidRDefault="007610AB" w:rsidP="007610AB">
      <w:r>
        <w:tab/>
        <w:t xml:space="preserve">The University’s Academic Integrity policy is always in effect in this class. Specifically relevant to our course are the provisions against cheating and plagiarism. </w:t>
      </w:r>
    </w:p>
    <w:p w:rsidR="007610AB" w:rsidRDefault="007610AB" w:rsidP="007610AB">
      <w:r>
        <w:tab/>
        <w:t xml:space="preserve">As outlined on page two of the Academic Integrity Policy, </w:t>
      </w:r>
      <w:r w:rsidRPr="00475D66">
        <w:rPr>
          <w:b/>
        </w:rPr>
        <w:t>cheating</w:t>
      </w:r>
      <w:r>
        <w:t xml:space="preserve"> includes copying another student’s work (regardless of whether they know you are copying), submitting work someone else has completed for you or completed in a previous term, and misrepresenting disability or temporary illness in order to gain special consideration. </w:t>
      </w:r>
    </w:p>
    <w:p w:rsidR="007610AB" w:rsidRDefault="007610AB" w:rsidP="007610AB">
      <w:r>
        <w:tab/>
      </w:r>
      <w:r w:rsidRPr="00475D66">
        <w:rPr>
          <w:b/>
        </w:rPr>
        <w:t>Plagiarism</w:t>
      </w:r>
      <w:r>
        <w:t xml:space="preserve"> occurs when students submit the work of someone else without acknowledgement. If you borrow (verbatim or in your own rephrasing) the ideas/words of someone else, you must cite them in your essays and exams. </w:t>
      </w:r>
    </w:p>
    <w:p w:rsidR="007610AB" w:rsidRPr="00D9782A" w:rsidRDefault="007610AB" w:rsidP="007610AB">
      <w:r>
        <w:tab/>
        <w:t>Do not engage in plagiarism or cheating. If you have any question about what constitutes either cheating or plagiarism, please see me!</w:t>
      </w:r>
    </w:p>
    <w:p w:rsidR="007610AB" w:rsidRDefault="007610AB" w:rsidP="007610AB">
      <w:r>
        <w:tab/>
        <w:t xml:space="preserve">The full text of the Academic Integrity Policy can be found here: </w:t>
      </w:r>
      <w:hyperlink r:id="rId11" w:history="1">
        <w:r w:rsidRPr="006029FC">
          <w:rPr>
            <w:rStyle w:val="Hyperlink"/>
          </w:rPr>
          <w:t>https://policies.auckland.ac.nz/policy-display-register/student-academic-conduct-statute.pdf</w:t>
        </w:r>
      </w:hyperlink>
    </w:p>
    <w:p w:rsidR="007610AB" w:rsidRDefault="007610AB" w:rsidP="007610AB"/>
    <w:p w:rsidR="007610AB" w:rsidRDefault="007610AB" w:rsidP="007610AB">
      <w:pPr>
        <w:rPr>
          <w:b/>
        </w:rPr>
      </w:pPr>
    </w:p>
    <w:p w:rsidR="007610AB" w:rsidRDefault="007610AB" w:rsidP="007610AB">
      <w:r>
        <w:rPr>
          <w:i/>
        </w:rPr>
        <w:t>Electronic Communications (e-mail):</w:t>
      </w:r>
    </w:p>
    <w:p w:rsidR="007610AB" w:rsidRDefault="007610AB" w:rsidP="007610AB">
      <w:r>
        <w:tab/>
        <w:t xml:space="preserve">Like your other professors, I will sometimes email you (through CANVAS) with important updates about the class. </w:t>
      </w:r>
      <w:r>
        <w:rPr>
          <w:b/>
        </w:rPr>
        <w:t xml:space="preserve">Set your CANVAS settings to receive updates at least once per day or you will miss time-sensitive information. It is your responsibility to check CANVAS or re-set your message notifications and be aware of information updated for you through CANVAS. </w:t>
      </w:r>
    </w:p>
    <w:p w:rsidR="007610AB" w:rsidRDefault="007610AB" w:rsidP="007610AB">
      <w:r>
        <w:tab/>
        <w:t xml:space="preserve">When you email me, </w:t>
      </w:r>
      <w:r w:rsidRPr="004B344C">
        <w:rPr>
          <w:u w:val="single"/>
        </w:rPr>
        <w:t>please include your full name in your message</w:t>
      </w:r>
      <w:r>
        <w:t>.</w:t>
      </w:r>
    </w:p>
    <w:p w:rsidR="00DB0F8B" w:rsidRDefault="00DB0F8B" w:rsidP="007610AB">
      <w:pPr>
        <w:rPr>
          <w:b/>
        </w:rPr>
      </w:pPr>
    </w:p>
    <w:p w:rsidR="00DB0F8B" w:rsidRDefault="00F73A29" w:rsidP="00DB0F8B">
      <w:r w:rsidRPr="00363B35">
        <w:rPr>
          <w:i/>
          <w:color w:val="FF0000"/>
        </w:rPr>
        <w:t xml:space="preserve">No </w:t>
      </w:r>
      <w:r w:rsidR="00DB0F8B" w:rsidRPr="00363B35">
        <w:rPr>
          <w:i/>
          <w:color w:val="FF0000"/>
        </w:rPr>
        <w:t xml:space="preserve">Electronic </w:t>
      </w:r>
      <w:r w:rsidRPr="00363B35">
        <w:rPr>
          <w:i/>
          <w:color w:val="FF0000"/>
        </w:rPr>
        <w:t>D</w:t>
      </w:r>
      <w:r w:rsidR="00DB0F8B" w:rsidRPr="00363B35">
        <w:rPr>
          <w:i/>
          <w:color w:val="FF0000"/>
        </w:rPr>
        <w:t xml:space="preserve">evices </w:t>
      </w:r>
      <w:r w:rsidR="00363B35">
        <w:rPr>
          <w:i/>
          <w:color w:val="FF0000"/>
        </w:rPr>
        <w:t xml:space="preserve">to be used </w:t>
      </w:r>
      <w:r w:rsidR="00DB0F8B" w:rsidRPr="00363B35">
        <w:rPr>
          <w:i/>
          <w:color w:val="FF0000"/>
        </w:rPr>
        <w:t xml:space="preserve">in the </w:t>
      </w:r>
      <w:r w:rsidRPr="00363B35">
        <w:rPr>
          <w:i/>
          <w:color w:val="FF0000"/>
        </w:rPr>
        <w:t>c</w:t>
      </w:r>
      <w:r w:rsidR="00DB0F8B" w:rsidRPr="00363B35">
        <w:rPr>
          <w:i/>
          <w:color w:val="FF0000"/>
        </w:rPr>
        <w:t>lassroom</w:t>
      </w:r>
      <w:r>
        <w:rPr>
          <w:i/>
        </w:rPr>
        <w:t>—please no texting during class; please no laptops out during class (and please see me within the first week if you have questions or concerns about this policy)</w:t>
      </w:r>
      <w:r>
        <w:t>:</w:t>
      </w:r>
    </w:p>
    <w:p w:rsidR="00DB0F8B" w:rsidRDefault="00DB0F8B" w:rsidP="00DB0F8B">
      <w:r>
        <w:tab/>
        <w:t xml:space="preserve">Unless you have a disability requiring the use of computers to take notes, you will be asked to </w:t>
      </w:r>
      <w:r w:rsidRPr="00F73A29">
        <w:rPr>
          <w:color w:val="FF0000"/>
        </w:rPr>
        <w:t xml:space="preserve">put away your computers and use a pen (or pencil) and paper to take your lecture notes. </w:t>
      </w:r>
      <w:r>
        <w:t xml:space="preserve">This is to facilitate attention and learning, as the research is consistent and clear in showing that students learn and retain more when they hand write their notes than when they type them. (Why? See, for example, </w:t>
      </w:r>
      <w:hyperlink r:id="rId12" w:history="1">
        <w:r w:rsidRPr="00913B45">
          <w:rPr>
            <w:rStyle w:val="Hyperlink"/>
          </w:rPr>
          <w:t>A Learning Secret: Don't Take Notes With a Laptop</w:t>
        </w:r>
      </w:hyperlink>
      <w:r>
        <w:t>)</w:t>
      </w:r>
    </w:p>
    <w:p w:rsidR="00DB0F8B" w:rsidRPr="00DE24D5" w:rsidRDefault="00DB0F8B" w:rsidP="00DB0F8B">
      <w:r>
        <w:tab/>
        <w:t xml:space="preserve">By the same token, please put away your phones (and tablets, and whatever else you’re getting your </w:t>
      </w:r>
      <w:proofErr w:type="spellStart"/>
      <w:r>
        <w:t>SnapChat</w:t>
      </w:r>
      <w:proofErr w:type="spellEnd"/>
      <w:r>
        <w:t xml:space="preserve"> notifications and Instagram feeds on). Texting during class is rude, and it also distracts you—and your peers—from the course material.</w:t>
      </w:r>
    </w:p>
    <w:p w:rsidR="007610AB" w:rsidRDefault="007610AB" w:rsidP="007610AB">
      <w:pPr>
        <w:rPr>
          <w:b/>
        </w:rPr>
      </w:pPr>
    </w:p>
    <w:p w:rsidR="0006750E" w:rsidRDefault="009C3691" w:rsidP="009C3691">
      <w:pPr>
        <w:jc w:val="center"/>
        <w:rPr>
          <w:b/>
          <w:sz w:val="28"/>
          <w:szCs w:val="28"/>
        </w:rPr>
      </w:pPr>
      <w:r>
        <w:rPr>
          <w:b/>
          <w:noProof/>
          <w:sz w:val="28"/>
          <w:szCs w:val="28"/>
          <w:lang w:val="en-NZ" w:eastAsia="en-NZ"/>
        </w:rPr>
        <w:drawing>
          <wp:inline distT="0" distB="0" distL="0" distR="0">
            <wp:extent cx="3427523" cy="1435608"/>
            <wp:effectExtent l="25400" t="0" r="1477" b="0"/>
            <wp:docPr id="5" name="Picture 0" descr="gender-the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theory.jpg"/>
                    <pic:cNvPicPr/>
                  </pic:nvPicPr>
                  <pic:blipFill>
                    <a:blip r:embed="rId13"/>
                    <a:stretch>
                      <a:fillRect/>
                    </a:stretch>
                  </pic:blipFill>
                  <pic:spPr>
                    <a:xfrm>
                      <a:off x="0" y="0"/>
                      <a:ext cx="3427523" cy="1435608"/>
                    </a:xfrm>
                    <a:prstGeom prst="rect">
                      <a:avLst/>
                    </a:prstGeom>
                  </pic:spPr>
                </pic:pic>
              </a:graphicData>
            </a:graphic>
          </wp:inline>
        </w:drawing>
      </w:r>
    </w:p>
    <w:p w:rsidR="00B46B6E" w:rsidRDefault="00B46B6E" w:rsidP="003632DF">
      <w:pPr>
        <w:rPr>
          <w:b/>
          <w:sz w:val="28"/>
          <w:szCs w:val="28"/>
        </w:rPr>
      </w:pPr>
    </w:p>
    <w:p w:rsidR="00363B35" w:rsidRDefault="003632DF" w:rsidP="003632DF">
      <w:pPr>
        <w:rPr>
          <w:b/>
          <w:sz w:val="28"/>
          <w:szCs w:val="28"/>
        </w:rPr>
      </w:pPr>
      <w:bookmarkStart w:id="0" w:name="_GoBack"/>
      <w:bookmarkEnd w:id="0"/>
      <w:r w:rsidRPr="00913B45">
        <w:rPr>
          <w:b/>
          <w:sz w:val="28"/>
          <w:szCs w:val="28"/>
        </w:rPr>
        <w:lastRenderedPageBreak/>
        <w:t>Schedule of Meetings and Readings</w:t>
      </w:r>
      <w:r w:rsidR="00C84CC8">
        <w:rPr>
          <w:b/>
          <w:sz w:val="28"/>
          <w:szCs w:val="28"/>
        </w:rPr>
        <w:t>:</w:t>
      </w:r>
    </w:p>
    <w:p w:rsidR="003632DF" w:rsidRDefault="00363B35" w:rsidP="003632DF">
      <w:r w:rsidRPr="005F3AB8">
        <w:tab/>
        <w:t xml:space="preserve">Note: Required readings are listed first. You are </w:t>
      </w:r>
      <w:r w:rsidR="005F3AB8">
        <w:t>expected</w:t>
      </w:r>
      <w:r w:rsidRPr="005F3AB8">
        <w:t xml:space="preserve"> to </w:t>
      </w:r>
      <w:r w:rsidR="005F3AB8">
        <w:t>read</w:t>
      </w:r>
      <w:r w:rsidRPr="005F3AB8">
        <w:t xml:space="preserve"> this material (it is ‘testable’ material), even if we are not able to cover all of it in lecture and discussion. Other readings, marked “recommended readings” are precisely that: recommended. You may find them interesting and helpful in understanding the course topics. I may refer to them in lecture, but you are not required to know the material beyond what I refer to in lecture.</w:t>
      </w:r>
      <w:r w:rsidR="00000AB1" w:rsidRPr="005F3AB8">
        <w:t xml:space="preserve"> </w:t>
      </w:r>
    </w:p>
    <w:p w:rsidR="005F3AB8" w:rsidRPr="005F3AB8" w:rsidRDefault="005F3AB8" w:rsidP="003632DF">
      <w:r>
        <w:tab/>
        <w:t>Some weeks have more readings than others because readings are of different lengths and difficulty level. Weeks with longer and/or denser readings will have fewer required readings listed; those that have shorter and more “accessible” readings will list more requirements.</w:t>
      </w:r>
    </w:p>
    <w:p w:rsidR="003632DF" w:rsidRDefault="003632DF" w:rsidP="003632DF">
      <w:pPr>
        <w:rPr>
          <w:b/>
        </w:rPr>
      </w:pPr>
    </w:p>
    <w:tbl>
      <w:tblPr>
        <w:tblStyle w:val="TableGrid"/>
        <w:tblW w:w="9322" w:type="dxa"/>
        <w:tblLook w:val="00A0" w:firstRow="1" w:lastRow="0" w:firstColumn="1" w:lastColumn="0" w:noHBand="0" w:noVBand="0"/>
      </w:tblPr>
      <w:tblGrid>
        <w:gridCol w:w="3168"/>
        <w:gridCol w:w="6154"/>
      </w:tblGrid>
      <w:tr w:rsidR="00C0123C" w:rsidRPr="00C0123C">
        <w:tc>
          <w:tcPr>
            <w:tcW w:w="3168" w:type="dxa"/>
          </w:tcPr>
          <w:p w:rsidR="00C0123C" w:rsidRPr="00C0123C" w:rsidRDefault="00C0123C" w:rsidP="003632DF">
            <w:pPr>
              <w:rPr>
                <w:b/>
              </w:rPr>
            </w:pPr>
            <w:r>
              <w:rPr>
                <w:b/>
              </w:rPr>
              <w:t>Dates &amp; Topics</w:t>
            </w:r>
          </w:p>
        </w:tc>
        <w:tc>
          <w:tcPr>
            <w:tcW w:w="6154" w:type="dxa"/>
          </w:tcPr>
          <w:p w:rsidR="00C0123C" w:rsidRPr="00C0123C" w:rsidRDefault="00C0123C" w:rsidP="003632DF">
            <w:pPr>
              <w:rPr>
                <w:b/>
              </w:rPr>
            </w:pPr>
            <w:r>
              <w:rPr>
                <w:b/>
              </w:rPr>
              <w:t>Readings</w:t>
            </w:r>
          </w:p>
        </w:tc>
      </w:tr>
      <w:tr w:rsidR="003632DF" w:rsidRPr="00220BCC">
        <w:tc>
          <w:tcPr>
            <w:tcW w:w="3168" w:type="dxa"/>
          </w:tcPr>
          <w:p w:rsidR="003632DF" w:rsidRPr="00220BCC" w:rsidRDefault="003632DF" w:rsidP="003632DF">
            <w:pPr>
              <w:rPr>
                <w:b/>
                <w:u w:val="single"/>
              </w:rPr>
            </w:pPr>
            <w:r w:rsidRPr="00220BCC">
              <w:rPr>
                <w:b/>
                <w:u w:val="single"/>
              </w:rPr>
              <w:t>W</w:t>
            </w:r>
            <w:r>
              <w:rPr>
                <w:b/>
                <w:u w:val="single"/>
              </w:rPr>
              <w:t>eek</w:t>
            </w:r>
            <w:r w:rsidRPr="00220BCC">
              <w:rPr>
                <w:b/>
                <w:u w:val="single"/>
              </w:rPr>
              <w:t xml:space="preserve"> 1:</w:t>
            </w:r>
          </w:p>
          <w:p w:rsidR="003E1B8E" w:rsidRDefault="003E1B8E" w:rsidP="003632DF">
            <w:r>
              <w:t>Monday 6 March</w:t>
            </w:r>
          </w:p>
          <w:p w:rsidR="003E1B8E" w:rsidRDefault="003E1B8E" w:rsidP="003632DF">
            <w:r>
              <w:t>&amp;</w:t>
            </w:r>
          </w:p>
          <w:p w:rsidR="002428F7" w:rsidRDefault="003E1B8E" w:rsidP="003632DF">
            <w:r>
              <w:t>Tuesday 7 March</w:t>
            </w:r>
          </w:p>
          <w:p w:rsidR="002428F7" w:rsidRDefault="002428F7" w:rsidP="003632DF"/>
          <w:p w:rsidR="003E1B8E" w:rsidRPr="00794470" w:rsidRDefault="002428F7" w:rsidP="003632DF">
            <w:pPr>
              <w:rPr>
                <w:b/>
              </w:rPr>
            </w:pPr>
            <w:r w:rsidRPr="00794470">
              <w:rPr>
                <w:b/>
              </w:rPr>
              <w:t>Power, Oppression, Privilege and the Uses of Feminist Theory</w:t>
            </w:r>
          </w:p>
          <w:p w:rsidR="003632DF" w:rsidRPr="00220BCC" w:rsidRDefault="003632DF" w:rsidP="003632DF"/>
        </w:tc>
        <w:tc>
          <w:tcPr>
            <w:tcW w:w="6154" w:type="dxa"/>
          </w:tcPr>
          <w:p w:rsidR="00493BD2" w:rsidRPr="005C31B3" w:rsidRDefault="00493BD2" w:rsidP="00EA6EE6">
            <w:pPr>
              <w:pStyle w:val="ListParagraph"/>
              <w:numPr>
                <w:ilvl w:val="0"/>
                <w:numId w:val="7"/>
              </w:numPr>
              <w:spacing w:after="120"/>
            </w:pPr>
            <w:r w:rsidRPr="00220BCC">
              <w:t>Ahmed</w:t>
            </w:r>
            <w:r>
              <w:t xml:space="preserve">, </w:t>
            </w:r>
            <w:r w:rsidRPr="00220BCC">
              <w:t>Sara</w:t>
            </w:r>
            <w:r>
              <w:t>. 2010.</w:t>
            </w:r>
            <w:r w:rsidRPr="00220BCC">
              <w:t xml:space="preserve"> “Feminist Killjoys</w:t>
            </w:r>
            <w:r>
              <w:t xml:space="preserve"> (And Other Willful Subjects).</w:t>
            </w:r>
            <w:r w:rsidRPr="00220BCC">
              <w:t>”</w:t>
            </w:r>
            <w:r>
              <w:t xml:space="preserve"> </w:t>
            </w:r>
            <w:r w:rsidRPr="00493BD2">
              <w:rPr>
                <w:i/>
              </w:rPr>
              <w:t>The Scholar and Feminist Online</w:t>
            </w:r>
            <w:r w:rsidRPr="005C31B3">
              <w:t xml:space="preserve"> 8(3): </w:t>
            </w:r>
            <w:hyperlink r:id="rId14" w:history="1">
              <w:r w:rsidRPr="005C31B3">
                <w:rPr>
                  <w:rStyle w:val="Hyperlink"/>
                </w:rPr>
                <w:t>Feminist Killjoys</w:t>
              </w:r>
            </w:hyperlink>
          </w:p>
          <w:p w:rsidR="00493BD2" w:rsidRDefault="00493BD2" w:rsidP="00EA6EE6">
            <w:pPr>
              <w:pStyle w:val="Default"/>
              <w:numPr>
                <w:ilvl w:val="0"/>
                <w:numId w:val="7"/>
              </w:numPr>
              <w:spacing w:after="120"/>
              <w:rPr>
                <w:rFonts w:ascii="Times New Roman" w:hAnsi="Times New Roman"/>
                <w:szCs w:val="23"/>
              </w:rPr>
            </w:pPr>
            <w:r w:rsidRPr="005C31B3">
              <w:rPr>
                <w:rFonts w:ascii="Times New Roman" w:hAnsi="Times New Roman"/>
                <w:szCs w:val="23"/>
              </w:rPr>
              <w:t xml:space="preserve">Lorde, Audre. 1984. “The Masters Tools Will Never Dismantle the Master’s House.” In </w:t>
            </w:r>
            <w:r w:rsidRPr="005C31B3">
              <w:rPr>
                <w:rFonts w:ascii="Times New Roman" w:hAnsi="Times New Roman"/>
                <w:i/>
                <w:szCs w:val="23"/>
              </w:rPr>
              <w:t>Sister Outsider: Essays and Speeches by Audre Lorde</w:t>
            </w:r>
            <w:r w:rsidRPr="005C31B3">
              <w:rPr>
                <w:rFonts w:ascii="Times New Roman" w:hAnsi="Times New Roman"/>
                <w:szCs w:val="23"/>
              </w:rPr>
              <w:t>. Trumansburg, NY: The Crossing Press: 110-113.</w:t>
            </w:r>
          </w:p>
          <w:p w:rsidR="007A6B54" w:rsidRDefault="00493BD2" w:rsidP="00EA6EE6">
            <w:pPr>
              <w:pStyle w:val="ListParagraph"/>
              <w:numPr>
                <w:ilvl w:val="0"/>
                <w:numId w:val="7"/>
              </w:numPr>
              <w:spacing w:after="120"/>
            </w:pPr>
            <w:r w:rsidRPr="005C31B3">
              <w:t xml:space="preserve">hooks, bell. 1989. “Feminist Theory: A Radical Agenda.” In </w:t>
            </w:r>
            <w:r w:rsidRPr="00493BD2">
              <w:rPr>
                <w:i/>
              </w:rPr>
              <w:t>Talking Back: Thinking Feminist, Thinking Black</w:t>
            </w:r>
            <w:r w:rsidRPr="005C31B3">
              <w:t>. Boston: South End Press: 35-41.</w:t>
            </w:r>
          </w:p>
          <w:p w:rsidR="003632DF" w:rsidRPr="006A6EEC" w:rsidRDefault="00F73A29" w:rsidP="00EA6EE6">
            <w:pPr>
              <w:pStyle w:val="Default"/>
              <w:numPr>
                <w:ilvl w:val="0"/>
                <w:numId w:val="7"/>
              </w:numPr>
              <w:rPr>
                <w:rFonts w:ascii="Times New Roman" w:hAnsi="Times New Roman"/>
                <w:szCs w:val="23"/>
              </w:rPr>
            </w:pPr>
            <w:r w:rsidRPr="005C31B3">
              <w:rPr>
                <w:rFonts w:ascii="Times New Roman" w:hAnsi="Times New Roman"/>
                <w:szCs w:val="23"/>
              </w:rPr>
              <w:t xml:space="preserve">Roxanne Gay: from </w:t>
            </w:r>
            <w:r w:rsidRPr="005C31B3">
              <w:rPr>
                <w:rFonts w:ascii="Times New Roman" w:hAnsi="Times New Roman"/>
                <w:i/>
                <w:szCs w:val="23"/>
              </w:rPr>
              <w:t>Bad Feminist</w:t>
            </w:r>
            <w:r w:rsidRPr="00220BCC">
              <w:rPr>
                <w:rFonts w:ascii="Times New Roman" w:hAnsi="Times New Roman"/>
                <w:szCs w:val="23"/>
              </w:rPr>
              <w:t xml:space="preserve"> (3 essays pgs. ix-1</w:t>
            </w:r>
            <w:r>
              <w:rPr>
                <w:rFonts w:ascii="Times New Roman" w:hAnsi="Times New Roman"/>
                <w:szCs w:val="23"/>
              </w:rPr>
              <w:t>9</w:t>
            </w:r>
            <w:r w:rsidRPr="00220BCC">
              <w:rPr>
                <w:rFonts w:ascii="Times New Roman" w:hAnsi="Times New Roman"/>
                <w:szCs w:val="23"/>
              </w:rPr>
              <w:t xml:space="preserve">):  </w:t>
            </w:r>
            <w:r>
              <w:rPr>
                <w:rFonts w:ascii="Times New Roman" w:hAnsi="Times New Roman"/>
                <w:szCs w:val="23"/>
              </w:rPr>
              <w:t>“</w:t>
            </w:r>
            <w:r w:rsidRPr="00954259">
              <w:rPr>
                <w:rFonts w:ascii="Times New Roman" w:hAnsi="Times New Roman"/>
                <w:iCs/>
                <w:szCs w:val="23"/>
              </w:rPr>
              <w:t>Feminism (n.): Plural</w:t>
            </w:r>
            <w:r>
              <w:rPr>
                <w:rFonts w:ascii="Times New Roman" w:hAnsi="Times New Roman"/>
                <w:iCs/>
                <w:szCs w:val="23"/>
              </w:rPr>
              <w:t>”</w:t>
            </w:r>
            <w:r w:rsidRPr="00954259">
              <w:rPr>
                <w:rFonts w:ascii="Times New Roman" w:hAnsi="Times New Roman"/>
                <w:iCs/>
                <w:szCs w:val="23"/>
              </w:rPr>
              <w:t xml:space="preserve">; </w:t>
            </w:r>
            <w:r>
              <w:rPr>
                <w:rFonts w:ascii="Times New Roman" w:hAnsi="Times New Roman"/>
                <w:iCs/>
                <w:szCs w:val="23"/>
              </w:rPr>
              <w:t>“</w:t>
            </w:r>
            <w:r w:rsidRPr="00954259">
              <w:rPr>
                <w:rFonts w:ascii="Times New Roman" w:hAnsi="Times New Roman"/>
                <w:iCs/>
                <w:szCs w:val="23"/>
              </w:rPr>
              <w:t>Feel Me, See Me. Hear Me. Reach Me”; “Peculiar Benefits</w:t>
            </w:r>
            <w:r>
              <w:rPr>
                <w:rFonts w:ascii="Times New Roman" w:hAnsi="Times New Roman"/>
                <w:iCs/>
                <w:szCs w:val="23"/>
              </w:rPr>
              <w:t>”</w:t>
            </w:r>
          </w:p>
          <w:p w:rsidR="006A6EEC" w:rsidRDefault="006A6EEC" w:rsidP="006A6EEC">
            <w:pPr>
              <w:pStyle w:val="Default"/>
              <w:rPr>
                <w:rFonts w:ascii="Times New Roman" w:hAnsi="Times New Roman"/>
                <w:iCs/>
                <w:szCs w:val="23"/>
              </w:rPr>
            </w:pPr>
          </w:p>
          <w:p w:rsidR="006A6EEC" w:rsidRDefault="006A6EEC" w:rsidP="006A6EEC">
            <w:pPr>
              <w:pStyle w:val="Default"/>
              <w:rPr>
                <w:rFonts w:ascii="Times New Roman" w:hAnsi="Times New Roman"/>
                <w:iCs/>
                <w:szCs w:val="23"/>
                <w:u w:val="single"/>
              </w:rPr>
            </w:pPr>
            <w:r>
              <w:rPr>
                <w:rFonts w:ascii="Times New Roman" w:hAnsi="Times New Roman"/>
                <w:iCs/>
                <w:szCs w:val="23"/>
                <w:u w:val="single"/>
              </w:rPr>
              <w:t>Recommended Reading:</w:t>
            </w:r>
          </w:p>
          <w:p w:rsidR="006A6EEC" w:rsidRPr="00350F38" w:rsidRDefault="006A6EEC" w:rsidP="00EA6EE6">
            <w:pPr>
              <w:pStyle w:val="Default"/>
              <w:numPr>
                <w:ilvl w:val="0"/>
                <w:numId w:val="7"/>
              </w:numPr>
              <w:spacing w:after="120"/>
              <w:rPr>
                <w:rFonts w:ascii="Times New Roman" w:hAnsi="Times New Roman"/>
                <w:szCs w:val="23"/>
              </w:rPr>
            </w:pPr>
            <w:r w:rsidRPr="00493BD2">
              <w:rPr>
                <w:rFonts w:ascii="Times New Roman" w:hAnsi="Times New Roman"/>
                <w:szCs w:val="23"/>
              </w:rPr>
              <w:t xml:space="preserve">Young, Iris Marion. 1990. “Five Faces of Oppression.” Chapter 2: </w:t>
            </w:r>
            <w:r w:rsidRPr="00493BD2">
              <w:rPr>
                <w:rFonts w:ascii="Times New Roman" w:hAnsi="Times New Roman"/>
                <w:i/>
                <w:szCs w:val="23"/>
              </w:rPr>
              <w:t>Justice and the Politics of Difference</w:t>
            </w:r>
            <w:r w:rsidRPr="00493BD2">
              <w:rPr>
                <w:rFonts w:ascii="Times New Roman" w:hAnsi="Times New Roman"/>
                <w:szCs w:val="23"/>
              </w:rPr>
              <w:t>. Princeton: Princeton University Press: 39-65.</w:t>
            </w:r>
          </w:p>
        </w:tc>
      </w:tr>
      <w:tr w:rsidR="003632DF" w:rsidRPr="00220BCC">
        <w:tc>
          <w:tcPr>
            <w:tcW w:w="3168" w:type="dxa"/>
          </w:tcPr>
          <w:p w:rsidR="003632DF" w:rsidRPr="00220BCC" w:rsidRDefault="003632DF" w:rsidP="003632DF">
            <w:pPr>
              <w:rPr>
                <w:b/>
                <w:u w:val="single"/>
              </w:rPr>
            </w:pPr>
            <w:r w:rsidRPr="00220BCC">
              <w:rPr>
                <w:b/>
                <w:u w:val="single"/>
              </w:rPr>
              <w:t>W</w:t>
            </w:r>
            <w:r>
              <w:rPr>
                <w:b/>
                <w:u w:val="single"/>
              </w:rPr>
              <w:t>eek</w:t>
            </w:r>
            <w:r w:rsidRPr="00220BCC">
              <w:rPr>
                <w:b/>
                <w:u w:val="single"/>
              </w:rPr>
              <w:t xml:space="preserve"> 2:</w:t>
            </w:r>
          </w:p>
          <w:p w:rsidR="003E1B8E" w:rsidRDefault="003E1B8E" w:rsidP="003632DF">
            <w:r>
              <w:t>Monday 13 March</w:t>
            </w:r>
          </w:p>
          <w:p w:rsidR="003E1B8E" w:rsidRDefault="003E1B8E" w:rsidP="003632DF">
            <w:r>
              <w:t>&amp;</w:t>
            </w:r>
          </w:p>
          <w:p w:rsidR="002428F7" w:rsidRDefault="003E1B8E" w:rsidP="003632DF">
            <w:r>
              <w:t>Tuesday 14 March</w:t>
            </w:r>
          </w:p>
          <w:p w:rsidR="002428F7" w:rsidRDefault="002428F7" w:rsidP="003632DF"/>
          <w:p w:rsidR="003632DF" w:rsidRPr="00794470" w:rsidRDefault="002428F7" w:rsidP="003632DF">
            <w:pPr>
              <w:rPr>
                <w:b/>
              </w:rPr>
            </w:pPr>
            <w:r w:rsidRPr="00794470">
              <w:rPr>
                <w:b/>
              </w:rPr>
              <w:t>Gender</w:t>
            </w:r>
            <w:r w:rsidR="007A6B54" w:rsidRPr="00794470">
              <w:rPr>
                <w:b/>
              </w:rPr>
              <w:t>, Power,</w:t>
            </w:r>
            <w:r w:rsidRPr="00794470">
              <w:rPr>
                <w:b/>
              </w:rPr>
              <w:t xml:space="preserve"> and </w:t>
            </w:r>
            <w:r w:rsidR="002435BC">
              <w:rPr>
                <w:b/>
              </w:rPr>
              <w:t>Embodiment</w:t>
            </w:r>
          </w:p>
          <w:p w:rsidR="00A357A6" w:rsidRDefault="00A357A6" w:rsidP="003632DF">
            <w:pPr>
              <w:rPr>
                <w:b/>
              </w:rPr>
            </w:pPr>
          </w:p>
          <w:p w:rsidR="00A357A6" w:rsidRDefault="00A357A6" w:rsidP="003632DF">
            <w:pPr>
              <w:rPr>
                <w:b/>
              </w:rPr>
            </w:pPr>
          </w:p>
          <w:p w:rsidR="003632DF" w:rsidRPr="00A357A6" w:rsidRDefault="004A33CC" w:rsidP="00F73A29">
            <w:pPr>
              <w:rPr>
                <w:b/>
                <w:color w:val="FF0000"/>
              </w:rPr>
            </w:pPr>
            <w:r>
              <w:rPr>
                <w:b/>
                <w:color w:val="FF0000"/>
              </w:rPr>
              <w:t>Reading Analysis I</w:t>
            </w:r>
            <w:r w:rsidR="00F73A29">
              <w:rPr>
                <w:b/>
                <w:color w:val="FF0000"/>
              </w:rPr>
              <w:t xml:space="preserve"> paper due at the beginning of</w:t>
            </w:r>
            <w:r w:rsidR="00A357A6" w:rsidRPr="00A357A6">
              <w:rPr>
                <w:b/>
                <w:color w:val="FF0000"/>
              </w:rPr>
              <w:t xml:space="preserve"> class on Monday 13</w:t>
            </w:r>
            <w:r w:rsidR="00A357A6" w:rsidRPr="00A357A6">
              <w:rPr>
                <w:b/>
                <w:color w:val="FF0000"/>
                <w:vertAlign w:val="superscript"/>
              </w:rPr>
              <w:t>th</w:t>
            </w:r>
            <w:r w:rsidR="00A357A6" w:rsidRPr="00A357A6">
              <w:rPr>
                <w:b/>
                <w:color w:val="FF0000"/>
              </w:rPr>
              <w:t xml:space="preserve"> March</w:t>
            </w:r>
          </w:p>
        </w:tc>
        <w:tc>
          <w:tcPr>
            <w:tcW w:w="6154" w:type="dxa"/>
          </w:tcPr>
          <w:p w:rsidR="007A6B54" w:rsidRDefault="007A6B54" w:rsidP="00EA6EE6">
            <w:pPr>
              <w:pStyle w:val="ListParagraph"/>
              <w:numPr>
                <w:ilvl w:val="0"/>
                <w:numId w:val="10"/>
              </w:numPr>
              <w:spacing w:before="120"/>
              <w:ind w:left="357" w:hanging="357"/>
              <w:contextualSpacing w:val="0"/>
              <w:rPr>
                <w:szCs w:val="23"/>
              </w:rPr>
            </w:pPr>
            <w:proofErr w:type="spellStart"/>
            <w:r w:rsidRPr="007A6B54">
              <w:rPr>
                <w:szCs w:val="23"/>
              </w:rPr>
              <w:t>Bartky</w:t>
            </w:r>
            <w:proofErr w:type="spellEnd"/>
            <w:r w:rsidRPr="007A6B54">
              <w:rPr>
                <w:szCs w:val="23"/>
              </w:rPr>
              <w:t xml:space="preserve">, Sandra. 1990. “Foucault, Femininity and the Modernization of Patriarchal Power.” Chapter 5: </w:t>
            </w:r>
            <w:r w:rsidRPr="007A6B54">
              <w:rPr>
                <w:i/>
                <w:szCs w:val="23"/>
              </w:rPr>
              <w:t>Femininity and Domination: Studies in the Phenomenology of Oppression</w:t>
            </w:r>
            <w:r w:rsidRPr="007A6B54">
              <w:rPr>
                <w:szCs w:val="23"/>
              </w:rPr>
              <w:t>. New York: Routledge: 63-82.</w:t>
            </w:r>
          </w:p>
          <w:p w:rsidR="001103FF" w:rsidRDefault="007A6B54" w:rsidP="00EA6EE6">
            <w:pPr>
              <w:pStyle w:val="ListParagraph"/>
              <w:numPr>
                <w:ilvl w:val="0"/>
                <w:numId w:val="10"/>
              </w:numPr>
              <w:spacing w:before="120"/>
              <w:ind w:left="357" w:hanging="357"/>
              <w:contextualSpacing w:val="0"/>
              <w:rPr>
                <w:szCs w:val="23"/>
              </w:rPr>
            </w:pPr>
            <w:r>
              <w:rPr>
                <w:szCs w:val="23"/>
              </w:rPr>
              <w:t xml:space="preserve">Spade, Dean. </w:t>
            </w:r>
            <w:r w:rsidR="00E34599">
              <w:rPr>
                <w:szCs w:val="23"/>
              </w:rPr>
              <w:t>2006. [</w:t>
            </w:r>
            <w:r>
              <w:rPr>
                <w:szCs w:val="23"/>
              </w:rPr>
              <w:t>2000</w:t>
            </w:r>
            <w:r w:rsidR="00E34599">
              <w:rPr>
                <w:szCs w:val="23"/>
              </w:rPr>
              <w:t>]</w:t>
            </w:r>
            <w:r>
              <w:rPr>
                <w:szCs w:val="23"/>
              </w:rPr>
              <w:t xml:space="preserve">. “Mutilating Gender.” </w:t>
            </w:r>
            <w:r w:rsidR="00E34599" w:rsidRPr="00220BCC">
              <w:rPr>
                <w:rFonts w:cs="Times New Roman"/>
                <w:szCs w:val="22"/>
              </w:rPr>
              <w:t xml:space="preserve">In Susan Stryker and Stephen Whittle, eds. </w:t>
            </w:r>
            <w:r w:rsidR="00E34599" w:rsidRPr="00220BCC">
              <w:rPr>
                <w:rFonts w:cs="Times New Roman"/>
                <w:i/>
                <w:szCs w:val="22"/>
              </w:rPr>
              <w:t>The Transgender Studies Reader</w:t>
            </w:r>
            <w:r w:rsidR="00E34599">
              <w:rPr>
                <w:rFonts w:cs="Times New Roman"/>
                <w:szCs w:val="22"/>
              </w:rPr>
              <w:t>. New York: Routledge:</w:t>
            </w:r>
            <w:r w:rsidR="00A15290">
              <w:rPr>
                <w:rFonts w:cs="Times New Roman"/>
                <w:szCs w:val="22"/>
              </w:rPr>
              <w:t xml:space="preserve"> 315-332.</w:t>
            </w:r>
          </w:p>
          <w:p w:rsidR="00FB4996" w:rsidRPr="00FB4996" w:rsidRDefault="004C3661" w:rsidP="00EA6EE6">
            <w:pPr>
              <w:pStyle w:val="ListParagraph"/>
              <w:numPr>
                <w:ilvl w:val="0"/>
                <w:numId w:val="10"/>
              </w:numPr>
              <w:spacing w:before="120"/>
              <w:ind w:left="357" w:hanging="357"/>
              <w:contextualSpacing w:val="0"/>
              <w:rPr>
                <w:szCs w:val="23"/>
              </w:rPr>
            </w:pPr>
            <w:r>
              <w:rPr>
                <w:szCs w:val="23"/>
              </w:rPr>
              <w:t xml:space="preserve">Fausto-Sterling, Anne. </w:t>
            </w:r>
            <w:r w:rsidR="00C84CC8">
              <w:rPr>
                <w:szCs w:val="23"/>
              </w:rPr>
              <w:t xml:space="preserve">2012. </w:t>
            </w:r>
            <w:proofErr w:type="spellStart"/>
            <w:r>
              <w:rPr>
                <w:szCs w:val="23"/>
              </w:rPr>
              <w:t>Chs</w:t>
            </w:r>
            <w:proofErr w:type="spellEnd"/>
            <w:r>
              <w:rPr>
                <w:szCs w:val="23"/>
              </w:rPr>
              <w:t xml:space="preserve"> 1, 2, and </w:t>
            </w:r>
            <w:r w:rsidR="00C9141B">
              <w:rPr>
                <w:szCs w:val="23"/>
              </w:rPr>
              <w:t>10</w:t>
            </w:r>
            <w:r>
              <w:rPr>
                <w:szCs w:val="23"/>
              </w:rPr>
              <w:t xml:space="preserve"> of </w:t>
            </w:r>
            <w:r>
              <w:rPr>
                <w:i/>
                <w:szCs w:val="23"/>
              </w:rPr>
              <w:t>Sex/Gender: Biology in a Social World</w:t>
            </w:r>
            <w:r w:rsidR="00C84CC8">
              <w:rPr>
                <w:szCs w:val="23"/>
              </w:rPr>
              <w:t xml:space="preserve">: </w:t>
            </w:r>
            <w:r w:rsidR="00C9141B">
              <w:rPr>
                <w:szCs w:val="23"/>
              </w:rPr>
              <w:t xml:space="preserve">“A Genderless Future?”’ “Of Spirals and Layers”; “Epilogue: </w:t>
            </w:r>
            <w:r w:rsidR="00C84CC8">
              <w:rPr>
                <w:szCs w:val="23"/>
              </w:rPr>
              <w:t>The Future of Gender (and Sex).” New York: Routledge:</w:t>
            </w:r>
            <w:r w:rsidR="00C9141B">
              <w:rPr>
                <w:szCs w:val="23"/>
              </w:rPr>
              <w:t xml:space="preserve"> 1-11; 11</w:t>
            </w:r>
            <w:r w:rsidR="00C84CC8">
              <w:rPr>
                <w:szCs w:val="23"/>
              </w:rPr>
              <w:t>9</w:t>
            </w:r>
            <w:r w:rsidR="00C9141B">
              <w:rPr>
                <w:szCs w:val="23"/>
              </w:rPr>
              <w:t>-123</w:t>
            </w:r>
            <w:r w:rsidR="00C84CC8">
              <w:rPr>
                <w:szCs w:val="23"/>
              </w:rPr>
              <w:t>.</w:t>
            </w:r>
          </w:p>
          <w:p w:rsidR="0087598C" w:rsidRPr="005C31B3" w:rsidRDefault="0087598C" w:rsidP="00EA6EE6">
            <w:pPr>
              <w:pStyle w:val="ListParagraph"/>
              <w:numPr>
                <w:ilvl w:val="0"/>
                <w:numId w:val="10"/>
              </w:numPr>
              <w:spacing w:before="120"/>
              <w:ind w:left="357" w:hanging="357"/>
              <w:contextualSpacing w:val="0"/>
            </w:pPr>
            <w:r w:rsidRPr="005C31B3">
              <w:t xml:space="preserve">Butler, Judith. 1993. “Critically Queer.” Chapter 8 of  </w:t>
            </w:r>
            <w:r w:rsidRPr="005C31B3">
              <w:rPr>
                <w:i/>
              </w:rPr>
              <w:t>Bodies that Matter: On the Discursive Limits of ‘Sex.’</w:t>
            </w:r>
            <w:r w:rsidRPr="005C31B3">
              <w:t xml:space="preserve"> New York: Routledge: 223-242.</w:t>
            </w:r>
          </w:p>
          <w:p w:rsidR="00FB4996" w:rsidRDefault="00FB4996" w:rsidP="00F73A29">
            <w:pPr>
              <w:rPr>
                <w:szCs w:val="23"/>
              </w:rPr>
            </w:pPr>
          </w:p>
          <w:p w:rsidR="00C84CC8" w:rsidRPr="00C84CC8" w:rsidRDefault="00000AB1" w:rsidP="00C84CC8">
            <w:pPr>
              <w:rPr>
                <w:szCs w:val="23"/>
              </w:rPr>
            </w:pPr>
            <w:r>
              <w:rPr>
                <w:szCs w:val="23"/>
                <w:u w:val="single"/>
              </w:rPr>
              <w:t>Recommended</w:t>
            </w:r>
            <w:r w:rsidR="00F73A29" w:rsidRPr="00FB4996">
              <w:rPr>
                <w:szCs w:val="23"/>
                <w:u w:val="single"/>
              </w:rPr>
              <w:t xml:space="preserve"> Readings</w:t>
            </w:r>
            <w:r w:rsidR="00FB4996">
              <w:rPr>
                <w:szCs w:val="23"/>
              </w:rPr>
              <w:t>:</w:t>
            </w:r>
          </w:p>
          <w:p w:rsidR="00C84CC8" w:rsidRDefault="00C84CC8" w:rsidP="00EA6EE6">
            <w:pPr>
              <w:pStyle w:val="ListParagraph"/>
              <w:numPr>
                <w:ilvl w:val="0"/>
                <w:numId w:val="10"/>
              </w:numPr>
              <w:spacing w:before="120"/>
              <w:ind w:left="357" w:hanging="357"/>
              <w:contextualSpacing w:val="0"/>
              <w:rPr>
                <w:szCs w:val="23"/>
              </w:rPr>
            </w:pPr>
            <w:r>
              <w:rPr>
                <w:szCs w:val="23"/>
              </w:rPr>
              <w:t xml:space="preserve">Fausto-Sterling, Anne. 2012. Ch. 9 of </w:t>
            </w:r>
            <w:r>
              <w:rPr>
                <w:i/>
                <w:szCs w:val="23"/>
              </w:rPr>
              <w:t xml:space="preserve">Sex/Gender: </w:t>
            </w:r>
            <w:r>
              <w:rPr>
                <w:i/>
                <w:szCs w:val="23"/>
              </w:rPr>
              <w:lastRenderedPageBreak/>
              <w:t>Biology in a Social World</w:t>
            </w:r>
            <w:r>
              <w:rPr>
                <w:szCs w:val="23"/>
              </w:rPr>
              <w:t xml:space="preserve"> , “The Developmental Dynamics of Pink and Blue”. New York: Routledge: 112-118.</w:t>
            </w:r>
          </w:p>
          <w:p w:rsidR="00FB4996" w:rsidRPr="00FB4996" w:rsidRDefault="00FB4996" w:rsidP="00EA6EE6">
            <w:pPr>
              <w:pStyle w:val="ListParagraph"/>
              <w:numPr>
                <w:ilvl w:val="0"/>
                <w:numId w:val="10"/>
              </w:numPr>
              <w:spacing w:before="120"/>
              <w:ind w:left="357" w:hanging="357"/>
              <w:contextualSpacing w:val="0"/>
              <w:rPr>
                <w:szCs w:val="23"/>
              </w:rPr>
            </w:pPr>
            <w:r>
              <w:rPr>
                <w:szCs w:val="23"/>
              </w:rPr>
              <w:t xml:space="preserve">Bornstein, Kate. 2006 [1995]. “Gender Terror, Gender Rage.” </w:t>
            </w:r>
            <w:r w:rsidRPr="00220BCC">
              <w:rPr>
                <w:rFonts w:cs="Times New Roman"/>
                <w:szCs w:val="22"/>
              </w:rPr>
              <w:t xml:space="preserve">In Susan Stryker and Stephen Whittle, eds. </w:t>
            </w:r>
            <w:r w:rsidRPr="00220BCC">
              <w:rPr>
                <w:rFonts w:cs="Times New Roman"/>
                <w:i/>
                <w:szCs w:val="22"/>
              </w:rPr>
              <w:t>The Transgender Studies Reader</w:t>
            </w:r>
            <w:r>
              <w:rPr>
                <w:rFonts w:cs="Times New Roman"/>
                <w:szCs w:val="22"/>
              </w:rPr>
              <w:t>. New York: Routledge: 236-243.</w:t>
            </w:r>
          </w:p>
          <w:p w:rsidR="006A6EEC" w:rsidRPr="00350F38" w:rsidRDefault="00FB4996" w:rsidP="00EA6EE6">
            <w:pPr>
              <w:pStyle w:val="ListParagraph"/>
              <w:numPr>
                <w:ilvl w:val="0"/>
                <w:numId w:val="10"/>
              </w:numPr>
              <w:rPr>
                <w:szCs w:val="23"/>
              </w:rPr>
            </w:pPr>
            <w:proofErr w:type="spellStart"/>
            <w:r w:rsidRPr="00FB4996">
              <w:rPr>
                <w:rFonts w:cs="Times New Roman"/>
                <w:szCs w:val="22"/>
              </w:rPr>
              <w:t>Haraway</w:t>
            </w:r>
            <w:proofErr w:type="spellEnd"/>
            <w:r w:rsidRPr="00FB4996">
              <w:rPr>
                <w:rFonts w:cs="Times New Roman"/>
                <w:szCs w:val="22"/>
              </w:rPr>
              <w:t xml:space="preserve">, Donna. 1985. “A Manifesto for Cyborgs: Science, Technology and Socialist Feminism in the 1980s.” </w:t>
            </w:r>
            <w:r w:rsidRPr="00FB4996">
              <w:rPr>
                <w:rFonts w:cs="Times New Roman"/>
                <w:i/>
                <w:szCs w:val="22"/>
              </w:rPr>
              <w:t>Socialist Review</w:t>
            </w:r>
            <w:r w:rsidRPr="00FB4996">
              <w:rPr>
                <w:rFonts w:cs="Times New Roman"/>
                <w:szCs w:val="22"/>
              </w:rPr>
              <w:t xml:space="preserve"> 80: 65-108.</w:t>
            </w:r>
          </w:p>
        </w:tc>
      </w:tr>
      <w:tr w:rsidR="003632DF" w:rsidRPr="00220BCC">
        <w:tc>
          <w:tcPr>
            <w:tcW w:w="3168" w:type="dxa"/>
          </w:tcPr>
          <w:p w:rsidR="003632DF" w:rsidRPr="00F44323" w:rsidRDefault="003632DF" w:rsidP="003632DF">
            <w:pPr>
              <w:rPr>
                <w:b/>
                <w:u w:val="single"/>
              </w:rPr>
            </w:pPr>
            <w:r w:rsidRPr="00F44323">
              <w:rPr>
                <w:b/>
                <w:u w:val="single"/>
              </w:rPr>
              <w:lastRenderedPageBreak/>
              <w:t>Week 3:</w:t>
            </w:r>
          </w:p>
          <w:p w:rsidR="003E1B8E" w:rsidRPr="00F44323" w:rsidRDefault="003E1B8E" w:rsidP="003632DF">
            <w:r w:rsidRPr="00F44323">
              <w:t>Monday 20 March</w:t>
            </w:r>
          </w:p>
          <w:p w:rsidR="003E1B8E" w:rsidRPr="00F44323" w:rsidRDefault="003E1B8E" w:rsidP="003632DF">
            <w:r w:rsidRPr="00F44323">
              <w:t>&amp;</w:t>
            </w:r>
          </w:p>
          <w:p w:rsidR="002428F7" w:rsidRPr="00F44323" w:rsidRDefault="003E1B8E" w:rsidP="003632DF">
            <w:r w:rsidRPr="00F44323">
              <w:t>Tuesday 21 March</w:t>
            </w:r>
          </w:p>
          <w:p w:rsidR="002428F7" w:rsidRPr="00F44323" w:rsidRDefault="002428F7" w:rsidP="003632DF"/>
          <w:p w:rsidR="003632DF" w:rsidRPr="00F44323" w:rsidRDefault="002428F7" w:rsidP="003632DF">
            <w:pPr>
              <w:rPr>
                <w:b/>
              </w:rPr>
            </w:pPr>
            <w:r w:rsidRPr="00F44323">
              <w:rPr>
                <w:b/>
              </w:rPr>
              <w:t>2</w:t>
            </w:r>
            <w:r w:rsidRPr="00F44323">
              <w:rPr>
                <w:b/>
                <w:vertAlign w:val="superscript"/>
              </w:rPr>
              <w:t>nd</w:t>
            </w:r>
            <w:r w:rsidRPr="00F44323">
              <w:rPr>
                <w:b/>
              </w:rPr>
              <w:t xml:space="preserve"> Wave Feminism: Women, Gender, Sex, and Power</w:t>
            </w:r>
          </w:p>
          <w:p w:rsidR="000339B2" w:rsidRPr="00F44323" w:rsidRDefault="000339B2" w:rsidP="003632DF">
            <w:pPr>
              <w:rPr>
                <w:b/>
              </w:rPr>
            </w:pPr>
          </w:p>
          <w:p w:rsidR="000339B2" w:rsidRPr="00F44323" w:rsidRDefault="000339B2" w:rsidP="000339B2">
            <w:pPr>
              <w:rPr>
                <w:b/>
                <w:color w:val="FF0000"/>
              </w:rPr>
            </w:pPr>
            <w:r w:rsidRPr="00F44323">
              <w:rPr>
                <w:b/>
                <w:color w:val="FF0000"/>
              </w:rPr>
              <w:t xml:space="preserve">Guest Lecturer: </w:t>
            </w:r>
          </w:p>
          <w:p w:rsidR="000339B2" w:rsidRPr="00F44323" w:rsidRDefault="000339B2" w:rsidP="000339B2">
            <w:pPr>
              <w:rPr>
                <w:b/>
                <w:color w:val="FF0000"/>
              </w:rPr>
            </w:pPr>
            <w:r w:rsidRPr="00F44323">
              <w:rPr>
                <w:b/>
                <w:color w:val="FF0000"/>
              </w:rPr>
              <w:t>Assoc. Professor Kathy Smits, Politics &amp; International Relations</w:t>
            </w:r>
          </w:p>
          <w:p w:rsidR="003632DF" w:rsidRPr="00F44323" w:rsidRDefault="003632DF" w:rsidP="003632DF">
            <w:pPr>
              <w:rPr>
                <w:b/>
              </w:rPr>
            </w:pPr>
          </w:p>
        </w:tc>
        <w:tc>
          <w:tcPr>
            <w:tcW w:w="6154" w:type="dxa"/>
          </w:tcPr>
          <w:p w:rsidR="000339B2" w:rsidRPr="00F44323" w:rsidRDefault="000339B2" w:rsidP="00EA6EE6">
            <w:pPr>
              <w:pStyle w:val="ListParagraph"/>
              <w:numPr>
                <w:ilvl w:val="0"/>
                <w:numId w:val="9"/>
              </w:numPr>
              <w:spacing w:after="120"/>
              <w:contextualSpacing w:val="0"/>
            </w:pPr>
            <w:r w:rsidRPr="00F44323">
              <w:t xml:space="preserve">Friedan, Betty. 1983[1963]. “The Problem That Has No Name” (excerpt from </w:t>
            </w:r>
            <w:r w:rsidRPr="00F44323">
              <w:rPr>
                <w:i/>
              </w:rPr>
              <w:t>The Feminine Mystique</w:t>
            </w:r>
            <w:r w:rsidRPr="00F44323">
              <w:t>). New York: Dell, pp. 15 – 32.</w:t>
            </w:r>
          </w:p>
          <w:p w:rsidR="000339B2" w:rsidRPr="00F44323" w:rsidRDefault="000339B2" w:rsidP="00EA6EE6">
            <w:pPr>
              <w:pStyle w:val="ListParagraph"/>
              <w:numPr>
                <w:ilvl w:val="0"/>
                <w:numId w:val="9"/>
              </w:numPr>
              <w:spacing w:after="120"/>
              <w:contextualSpacing w:val="0"/>
            </w:pPr>
            <w:r w:rsidRPr="00F44323">
              <w:t xml:space="preserve">Davis, Angela Y. 1998. “Violence Against Women and the Ongoing Challenge to Racism.” In </w:t>
            </w:r>
            <w:r w:rsidRPr="00F44323">
              <w:rPr>
                <w:i/>
              </w:rPr>
              <w:t>The Angela Y. Davis Reader</w:t>
            </w:r>
            <w:r w:rsidRPr="00F44323">
              <w:t>, Joy James, ed. Oxford: Blackwell Publishers: pp. 1</w:t>
            </w:r>
            <w:r w:rsidR="00AD5205" w:rsidRPr="00F44323">
              <w:t>3</w:t>
            </w:r>
            <w:r w:rsidRPr="00F44323">
              <w:t>8-148.</w:t>
            </w:r>
          </w:p>
          <w:p w:rsidR="000339B2" w:rsidRPr="00F44323" w:rsidRDefault="000339B2" w:rsidP="00EA6EE6">
            <w:pPr>
              <w:pStyle w:val="ListParagraph"/>
              <w:numPr>
                <w:ilvl w:val="0"/>
                <w:numId w:val="9"/>
              </w:numPr>
              <w:spacing w:after="120"/>
              <w:contextualSpacing w:val="0"/>
            </w:pPr>
            <w:r w:rsidRPr="00F44323">
              <w:t xml:space="preserve">MacKinnon, Catharine A. 1987[1983]. “Not a Moral Issue” (excerpt from </w:t>
            </w:r>
            <w:r w:rsidRPr="00F44323">
              <w:rPr>
                <w:i/>
              </w:rPr>
              <w:t>Feminism Unmodified</w:t>
            </w:r>
            <w:r w:rsidRPr="00F44323">
              <w:t>). Cambridge, MA: Harvard University Press: pp. 146-162.</w:t>
            </w:r>
          </w:p>
          <w:p w:rsidR="006A6EEC" w:rsidRPr="00F44323" w:rsidRDefault="000339B2" w:rsidP="00EA6EE6">
            <w:pPr>
              <w:pStyle w:val="ListParagraph"/>
              <w:numPr>
                <w:ilvl w:val="0"/>
                <w:numId w:val="9"/>
              </w:numPr>
              <w:spacing w:after="120"/>
              <w:contextualSpacing w:val="0"/>
              <w:rPr>
                <w:b/>
                <w:u w:val="single"/>
              </w:rPr>
            </w:pPr>
            <w:r w:rsidRPr="00F44323">
              <w:t xml:space="preserve">MacKinnon, Catharine A. 1987[1984]. “Difference and Dominance: On Sex Discrimination” (excerpt from </w:t>
            </w:r>
            <w:r w:rsidRPr="00F44323">
              <w:rPr>
                <w:i/>
              </w:rPr>
              <w:t>Feminism Unmodified</w:t>
            </w:r>
            <w:r w:rsidRPr="00F44323">
              <w:t>). Cambridge, MA: Harvard University Press: pp. 32-45.</w:t>
            </w:r>
          </w:p>
        </w:tc>
      </w:tr>
      <w:tr w:rsidR="003632DF" w:rsidRPr="00220BCC">
        <w:tc>
          <w:tcPr>
            <w:tcW w:w="3168" w:type="dxa"/>
          </w:tcPr>
          <w:p w:rsidR="003632DF" w:rsidRPr="00F44323" w:rsidRDefault="003632DF" w:rsidP="003632DF">
            <w:pPr>
              <w:rPr>
                <w:b/>
                <w:u w:val="single"/>
              </w:rPr>
            </w:pPr>
            <w:r w:rsidRPr="00F44323">
              <w:rPr>
                <w:b/>
                <w:u w:val="single"/>
              </w:rPr>
              <w:t>Week 4:</w:t>
            </w:r>
          </w:p>
          <w:p w:rsidR="003E1B8E" w:rsidRPr="00F44323" w:rsidRDefault="003E1B8E" w:rsidP="003632DF">
            <w:r w:rsidRPr="00F44323">
              <w:t>Monday 27 March</w:t>
            </w:r>
          </w:p>
          <w:p w:rsidR="003E1B8E" w:rsidRPr="00F44323" w:rsidRDefault="003E1B8E" w:rsidP="003632DF">
            <w:r w:rsidRPr="00F44323">
              <w:t>&amp;</w:t>
            </w:r>
          </w:p>
          <w:p w:rsidR="003632DF" w:rsidRPr="00F44323" w:rsidRDefault="003E1B8E" w:rsidP="003632DF">
            <w:r w:rsidRPr="00F44323">
              <w:t>Tuesday 28 March</w:t>
            </w:r>
          </w:p>
          <w:p w:rsidR="003632DF" w:rsidRPr="00F44323" w:rsidRDefault="003632DF" w:rsidP="003632DF">
            <w:pPr>
              <w:rPr>
                <w:b/>
              </w:rPr>
            </w:pPr>
          </w:p>
          <w:p w:rsidR="002428F7" w:rsidRPr="00F44323" w:rsidRDefault="002428F7" w:rsidP="002428F7">
            <w:pPr>
              <w:rPr>
                <w:b/>
              </w:rPr>
            </w:pPr>
            <w:r w:rsidRPr="00F44323">
              <w:rPr>
                <w:b/>
              </w:rPr>
              <w:t xml:space="preserve">Gender and Political Power: Democracy, Equality, and Political Representation </w:t>
            </w:r>
          </w:p>
          <w:p w:rsidR="00FA749A" w:rsidRPr="00F44323" w:rsidRDefault="00FA749A" w:rsidP="002428F7"/>
          <w:p w:rsidR="00FA749A" w:rsidRPr="00F44323" w:rsidRDefault="00FA749A" w:rsidP="00FA749A">
            <w:pPr>
              <w:rPr>
                <w:b/>
                <w:color w:val="FF0000"/>
              </w:rPr>
            </w:pPr>
            <w:r w:rsidRPr="00F44323">
              <w:rPr>
                <w:b/>
                <w:color w:val="FF0000"/>
              </w:rPr>
              <w:t xml:space="preserve">Guest Lecturer: </w:t>
            </w:r>
          </w:p>
          <w:p w:rsidR="00FA749A" w:rsidRPr="00F44323" w:rsidRDefault="00FA749A" w:rsidP="00FA749A">
            <w:pPr>
              <w:rPr>
                <w:b/>
                <w:color w:val="FF0000"/>
              </w:rPr>
            </w:pPr>
            <w:r w:rsidRPr="00F44323">
              <w:rPr>
                <w:b/>
                <w:color w:val="FF0000"/>
              </w:rPr>
              <w:t>Assoc. Professor Jennifer Curtin, Politics &amp; International Relations</w:t>
            </w:r>
          </w:p>
          <w:p w:rsidR="003632DF" w:rsidRPr="00F44323" w:rsidRDefault="003632DF" w:rsidP="002428F7"/>
        </w:tc>
        <w:tc>
          <w:tcPr>
            <w:tcW w:w="6154" w:type="dxa"/>
          </w:tcPr>
          <w:p w:rsidR="00F44323" w:rsidRPr="00F44323" w:rsidRDefault="00F44323" w:rsidP="00EA6EE6">
            <w:pPr>
              <w:pStyle w:val="ListParagraph"/>
              <w:numPr>
                <w:ilvl w:val="0"/>
                <w:numId w:val="3"/>
              </w:numPr>
              <w:spacing w:after="120"/>
              <w:ind w:left="357" w:hanging="357"/>
              <w:contextualSpacing w:val="0"/>
              <w:rPr>
                <w:lang w:val="en-NZ"/>
              </w:rPr>
            </w:pPr>
            <w:r w:rsidRPr="00F44323">
              <w:rPr>
                <w:rStyle w:val="exldetailsdisplayval"/>
              </w:rPr>
              <w:t xml:space="preserve">Phillips, </w:t>
            </w:r>
            <w:r w:rsidRPr="00F44323">
              <w:rPr>
                <w:rStyle w:val="exldetailsdisplayval"/>
              </w:rPr>
              <w:t>Anne. 2010 [1998]. “</w:t>
            </w:r>
            <w:r w:rsidRPr="00F44323">
              <w:rPr>
                <w:rStyle w:val="exldetailsdisplayval"/>
              </w:rPr>
              <w:t xml:space="preserve">Quotas for </w:t>
            </w:r>
            <w:r w:rsidRPr="00F44323">
              <w:rPr>
                <w:rStyle w:val="exldetailsdisplayval"/>
              </w:rPr>
              <w:t>W</w:t>
            </w:r>
            <w:r w:rsidRPr="00F44323">
              <w:rPr>
                <w:rStyle w:val="exldetailsdisplayval"/>
              </w:rPr>
              <w:t>omen</w:t>
            </w:r>
            <w:r w:rsidRPr="00F44323">
              <w:rPr>
                <w:rStyle w:val="exldetailsdisplayval"/>
              </w:rPr>
              <w:t>.” I</w:t>
            </w:r>
            <w:r w:rsidRPr="00F44323">
              <w:rPr>
                <w:rStyle w:val="exldetailsdisplayval"/>
              </w:rPr>
              <w:t xml:space="preserve">n Sarah Childs and Mona Lena </w:t>
            </w:r>
            <w:proofErr w:type="spellStart"/>
            <w:r w:rsidRPr="00F44323">
              <w:rPr>
                <w:rStyle w:val="exldetailsdisplayval"/>
              </w:rPr>
              <w:t>Krook</w:t>
            </w:r>
            <w:proofErr w:type="spellEnd"/>
            <w:r w:rsidRPr="00F44323">
              <w:rPr>
                <w:rStyle w:val="exldetailsdisplayval"/>
              </w:rPr>
              <w:t xml:space="preserve">, </w:t>
            </w:r>
            <w:proofErr w:type="spellStart"/>
            <w:r w:rsidRPr="00F44323">
              <w:rPr>
                <w:rStyle w:val="exldetailsdisplayval"/>
              </w:rPr>
              <w:t>eds</w:t>
            </w:r>
            <w:proofErr w:type="spellEnd"/>
            <w:r w:rsidRPr="00F44323">
              <w:rPr>
                <w:rStyle w:val="exldetailsdisplayval"/>
              </w:rPr>
              <w:t xml:space="preserve">, </w:t>
            </w:r>
            <w:r w:rsidRPr="00F44323">
              <w:rPr>
                <w:rStyle w:val="searchword"/>
                <w:i/>
              </w:rPr>
              <w:t>Women</w:t>
            </w:r>
            <w:r w:rsidRPr="00F44323">
              <w:rPr>
                <w:i/>
              </w:rPr>
              <w:t xml:space="preserve">, </w:t>
            </w:r>
            <w:r w:rsidRPr="00F44323">
              <w:rPr>
                <w:rStyle w:val="searchword"/>
                <w:i/>
              </w:rPr>
              <w:t>G</w:t>
            </w:r>
            <w:r w:rsidRPr="00F44323">
              <w:rPr>
                <w:rStyle w:val="searchword"/>
                <w:i/>
              </w:rPr>
              <w:t>ender</w:t>
            </w:r>
            <w:r w:rsidRPr="00F44323">
              <w:rPr>
                <w:i/>
              </w:rPr>
              <w:t xml:space="preserve">, </w:t>
            </w:r>
            <w:r w:rsidRPr="00F44323">
              <w:rPr>
                <w:rStyle w:val="searchword"/>
                <w:i/>
              </w:rPr>
              <w:t>and</w:t>
            </w:r>
            <w:r w:rsidRPr="00F44323">
              <w:rPr>
                <w:i/>
              </w:rPr>
              <w:t xml:space="preserve"> </w:t>
            </w:r>
            <w:r w:rsidRPr="00F44323">
              <w:rPr>
                <w:rStyle w:val="searchword"/>
                <w:i/>
              </w:rPr>
              <w:t>P</w:t>
            </w:r>
            <w:r w:rsidRPr="00F44323">
              <w:rPr>
                <w:rStyle w:val="searchword"/>
                <w:i/>
              </w:rPr>
              <w:t>olitics</w:t>
            </w:r>
            <w:r w:rsidRPr="00F44323">
              <w:rPr>
                <w:i/>
              </w:rPr>
              <w:t xml:space="preserve">: </w:t>
            </w:r>
            <w:r w:rsidRPr="00F44323">
              <w:rPr>
                <w:rStyle w:val="searchword"/>
                <w:i/>
              </w:rPr>
              <w:t>A</w:t>
            </w:r>
            <w:r w:rsidRPr="00F44323">
              <w:rPr>
                <w:i/>
              </w:rPr>
              <w:t xml:space="preserve"> </w:t>
            </w:r>
            <w:r w:rsidRPr="00F44323">
              <w:rPr>
                <w:rStyle w:val="searchword"/>
                <w:i/>
              </w:rPr>
              <w:t>R</w:t>
            </w:r>
            <w:r w:rsidRPr="00F44323">
              <w:rPr>
                <w:rStyle w:val="searchword"/>
                <w:i/>
              </w:rPr>
              <w:t>eader</w:t>
            </w:r>
            <w:r w:rsidRPr="00F44323">
              <w:rPr>
                <w:rStyle w:val="searchword"/>
                <w:i/>
              </w:rPr>
              <w:t>.</w:t>
            </w:r>
            <w:r w:rsidRPr="00F44323">
              <w:rPr>
                <w:rStyle w:val="searchword"/>
              </w:rPr>
              <w:t xml:space="preserve"> Oxford University Press: 185-191.</w:t>
            </w:r>
          </w:p>
          <w:p w:rsidR="000339B2" w:rsidRPr="00F44323" w:rsidRDefault="000339B2" w:rsidP="00EA6EE6">
            <w:pPr>
              <w:pStyle w:val="ListParagraph"/>
              <w:numPr>
                <w:ilvl w:val="0"/>
                <w:numId w:val="3"/>
              </w:numPr>
              <w:rPr>
                <w:b/>
              </w:rPr>
            </w:pPr>
            <w:r w:rsidRPr="00F44323">
              <w:rPr>
                <w:lang w:val="en-NZ"/>
              </w:rPr>
              <w:t xml:space="preserve">Murray, Rainbow. 2014. “Quotas for Men: Reframing Gender Quotas as a Means of Improving Representation for All” </w:t>
            </w:r>
            <w:r w:rsidRPr="00F44323">
              <w:rPr>
                <w:i/>
                <w:lang w:val="en-NZ"/>
              </w:rPr>
              <w:t>American Political Science Review</w:t>
            </w:r>
            <w:r w:rsidRPr="00F44323">
              <w:rPr>
                <w:lang w:val="en-NZ"/>
              </w:rPr>
              <w:t xml:space="preserve"> 108 (3) 520-532 </w:t>
            </w:r>
            <w:proofErr w:type="spellStart"/>
            <w:r w:rsidRPr="00F44323">
              <w:rPr>
                <w:lang w:val="en-NZ"/>
              </w:rPr>
              <w:t>DOI</w:t>
            </w:r>
            <w:proofErr w:type="spellEnd"/>
            <w:r w:rsidRPr="00F44323">
              <w:rPr>
                <w:lang w:val="en-NZ"/>
              </w:rPr>
              <w:t xml:space="preserve">: </w:t>
            </w:r>
            <w:hyperlink r:id="rId15" w:history="1">
              <w:r w:rsidRPr="00F44323">
                <w:rPr>
                  <w:rStyle w:val="Hyperlink"/>
                  <w:lang w:val="en-NZ"/>
                </w:rPr>
                <w:t>http://dx.doi.org.ezproxy.auckland.ac.nz/ 10.1017/S0003055414000239</w:t>
              </w:r>
            </w:hyperlink>
          </w:p>
          <w:p w:rsidR="000339B2" w:rsidRPr="00F44323" w:rsidRDefault="000339B2" w:rsidP="000339B2">
            <w:pPr>
              <w:rPr>
                <w:u w:val="single"/>
              </w:rPr>
            </w:pPr>
          </w:p>
          <w:p w:rsidR="000339B2" w:rsidRPr="00F44323" w:rsidRDefault="000339B2" w:rsidP="000339B2">
            <w:pPr>
              <w:rPr>
                <w:u w:val="single"/>
              </w:rPr>
            </w:pPr>
            <w:r w:rsidRPr="00F44323">
              <w:rPr>
                <w:u w:val="single"/>
              </w:rPr>
              <w:t>Recommended Reading:</w:t>
            </w:r>
          </w:p>
          <w:p w:rsidR="000339B2" w:rsidRPr="00F44323" w:rsidRDefault="000339B2" w:rsidP="00EA6EE6">
            <w:pPr>
              <w:pStyle w:val="ListParagraph"/>
              <w:numPr>
                <w:ilvl w:val="0"/>
                <w:numId w:val="1"/>
              </w:numPr>
              <w:rPr>
                <w:lang w:val="en-NZ"/>
              </w:rPr>
            </w:pPr>
            <w:r w:rsidRPr="00F44323">
              <w:rPr>
                <w:lang w:val="en-NZ"/>
              </w:rPr>
              <w:t>Mansbridge, Jane. 1999. “Should Blacks Represent Blacks and Women Represent Women? A Contingent Yes</w:t>
            </w:r>
            <w:r w:rsidR="00000AB1" w:rsidRPr="00F44323">
              <w:rPr>
                <w:lang w:val="en-NZ"/>
              </w:rPr>
              <w:t>.</w:t>
            </w:r>
            <w:r w:rsidRPr="00F44323">
              <w:rPr>
                <w:lang w:val="en-NZ"/>
              </w:rPr>
              <w:t xml:space="preserve">” </w:t>
            </w:r>
            <w:r w:rsidRPr="00F44323">
              <w:rPr>
                <w:i/>
                <w:lang w:val="en-NZ"/>
              </w:rPr>
              <w:t>Journal of Politics</w:t>
            </w:r>
            <w:r w:rsidRPr="00F44323">
              <w:rPr>
                <w:lang w:val="en-NZ"/>
              </w:rPr>
              <w:t xml:space="preserve"> 61(3): 628-657</w:t>
            </w:r>
          </w:p>
          <w:p w:rsidR="003632DF" w:rsidRPr="00F44323" w:rsidRDefault="003632DF" w:rsidP="00C0123C"/>
        </w:tc>
      </w:tr>
      <w:tr w:rsidR="003632DF" w:rsidRPr="00220BCC">
        <w:tc>
          <w:tcPr>
            <w:tcW w:w="3168" w:type="dxa"/>
          </w:tcPr>
          <w:p w:rsidR="003632DF" w:rsidRPr="00220BCC" w:rsidRDefault="003632DF" w:rsidP="003632DF">
            <w:pPr>
              <w:rPr>
                <w:b/>
                <w:u w:val="single"/>
              </w:rPr>
            </w:pPr>
            <w:r w:rsidRPr="00220BCC">
              <w:rPr>
                <w:b/>
                <w:u w:val="single"/>
              </w:rPr>
              <w:t>Week 5:</w:t>
            </w:r>
          </w:p>
          <w:p w:rsidR="003E1B8E" w:rsidRDefault="003E1B8E" w:rsidP="003632DF">
            <w:r>
              <w:t>Monday 3 April</w:t>
            </w:r>
          </w:p>
          <w:p w:rsidR="003E1B8E" w:rsidRDefault="003E1B8E" w:rsidP="003632DF">
            <w:r>
              <w:t>&amp;</w:t>
            </w:r>
          </w:p>
          <w:p w:rsidR="002428F7" w:rsidRDefault="003E1B8E" w:rsidP="003632DF">
            <w:r>
              <w:t>Tuesday 4 April</w:t>
            </w:r>
          </w:p>
          <w:p w:rsidR="002428F7" w:rsidRDefault="002428F7" w:rsidP="003632DF"/>
          <w:p w:rsidR="002428F7" w:rsidRPr="00794470" w:rsidRDefault="002435BC" w:rsidP="002428F7">
            <w:pPr>
              <w:rPr>
                <w:b/>
              </w:rPr>
            </w:pPr>
            <w:r>
              <w:rPr>
                <w:b/>
              </w:rPr>
              <w:t>Post-Feminism,</w:t>
            </w:r>
            <w:r w:rsidR="00756088">
              <w:rPr>
                <w:b/>
              </w:rPr>
              <w:t xml:space="preserve"> </w:t>
            </w:r>
            <w:r w:rsidR="002428F7" w:rsidRPr="00794470">
              <w:rPr>
                <w:b/>
              </w:rPr>
              <w:t>3</w:t>
            </w:r>
            <w:r w:rsidR="002428F7" w:rsidRPr="00794470">
              <w:rPr>
                <w:b/>
                <w:vertAlign w:val="superscript"/>
              </w:rPr>
              <w:t>rd</w:t>
            </w:r>
            <w:r w:rsidR="002428F7" w:rsidRPr="00794470">
              <w:rPr>
                <w:b/>
              </w:rPr>
              <w:t xml:space="preserve"> </w:t>
            </w:r>
            <w:r>
              <w:rPr>
                <w:b/>
              </w:rPr>
              <w:t>Wave Feminism, and into the 4</w:t>
            </w:r>
            <w:r w:rsidRPr="002435BC">
              <w:rPr>
                <w:b/>
                <w:vertAlign w:val="superscript"/>
              </w:rPr>
              <w:t>th</w:t>
            </w:r>
            <w:r w:rsidR="00DA29D6">
              <w:rPr>
                <w:b/>
              </w:rPr>
              <w:t xml:space="preserve"> Wave: </w:t>
            </w:r>
            <w:r w:rsidR="008142C2">
              <w:rPr>
                <w:b/>
              </w:rPr>
              <w:t xml:space="preserve">Agency, Power, and Politics </w:t>
            </w:r>
          </w:p>
          <w:p w:rsidR="002428F7" w:rsidRDefault="002428F7" w:rsidP="003632DF"/>
          <w:p w:rsidR="003632DF" w:rsidRPr="00220BCC" w:rsidRDefault="003632DF" w:rsidP="00D61956"/>
        </w:tc>
        <w:tc>
          <w:tcPr>
            <w:tcW w:w="6154" w:type="dxa"/>
          </w:tcPr>
          <w:p w:rsidR="00DA29D6" w:rsidRDefault="00DA29D6" w:rsidP="00EA6EE6">
            <w:pPr>
              <w:pStyle w:val="ListParagraph"/>
              <w:widowControl w:val="0"/>
              <w:numPr>
                <w:ilvl w:val="0"/>
                <w:numId w:val="11"/>
              </w:numPr>
              <w:autoSpaceDE w:val="0"/>
              <w:autoSpaceDN w:val="0"/>
              <w:adjustRightInd w:val="0"/>
              <w:spacing w:after="120"/>
              <w:ind w:left="357" w:hanging="357"/>
              <w:contextualSpacing w:val="0"/>
            </w:pPr>
            <w:r>
              <w:lastRenderedPageBreak/>
              <w:t xml:space="preserve">Wolf, Naomi. 1993. </w:t>
            </w:r>
            <w:r>
              <w:rPr>
                <w:i/>
              </w:rPr>
              <w:t>Fire with Fire: The New Female Power and How it Will Change the 21</w:t>
            </w:r>
            <w:r w:rsidRPr="00DA29D6">
              <w:rPr>
                <w:i/>
                <w:vertAlign w:val="superscript"/>
              </w:rPr>
              <w:t>st</w:t>
            </w:r>
            <w:r>
              <w:rPr>
                <w:i/>
              </w:rPr>
              <w:t xml:space="preserve"> Century</w:t>
            </w:r>
            <w:r>
              <w:t xml:space="preserve">, </w:t>
            </w:r>
            <w:proofErr w:type="spellStart"/>
            <w:r>
              <w:t>Chs</w:t>
            </w:r>
            <w:proofErr w:type="spellEnd"/>
            <w:r>
              <w:t>. 9 and 10: “Two Traditions” and “Core Mythology of Victim Feminism</w:t>
            </w:r>
            <w:r w:rsidR="008142C2">
              <w:t>.</w:t>
            </w:r>
            <w:r>
              <w:t>”</w:t>
            </w:r>
            <w:r w:rsidR="008142C2">
              <w:t xml:space="preserve"> Auckland: Random House, 147-163.</w:t>
            </w:r>
          </w:p>
          <w:p w:rsidR="00870611" w:rsidRPr="00F609EB" w:rsidRDefault="00870611" w:rsidP="00EA6EE6">
            <w:pPr>
              <w:pStyle w:val="ListParagraph"/>
              <w:widowControl w:val="0"/>
              <w:numPr>
                <w:ilvl w:val="0"/>
                <w:numId w:val="11"/>
              </w:numPr>
              <w:autoSpaceDE w:val="0"/>
              <w:autoSpaceDN w:val="0"/>
              <w:adjustRightInd w:val="0"/>
              <w:spacing w:after="120"/>
              <w:ind w:left="357" w:hanging="357"/>
              <w:contextualSpacing w:val="0"/>
            </w:pPr>
            <w:r>
              <w:t>Wong, Kristina Sheryl. 2003. “Pranks and Fake Porn: Doing Feminism My Way.”</w:t>
            </w:r>
            <w:r w:rsidRPr="009640C9">
              <w:t xml:space="preserve"> In </w:t>
            </w:r>
            <w:r w:rsidRPr="009640C9">
              <w:rPr>
                <w:i/>
              </w:rPr>
              <w:t>Catching a Wave: Reclaiming Feminism for the 21</w:t>
            </w:r>
            <w:r w:rsidRPr="009640C9">
              <w:rPr>
                <w:i/>
                <w:vertAlign w:val="superscript"/>
              </w:rPr>
              <w:t>st</w:t>
            </w:r>
            <w:r w:rsidRPr="009640C9">
              <w:rPr>
                <w:i/>
              </w:rPr>
              <w:t xml:space="preserve"> Century</w:t>
            </w:r>
            <w:r w:rsidRPr="009640C9">
              <w:t xml:space="preserve">, Rory Dicker and Alison </w:t>
            </w:r>
            <w:proofErr w:type="spellStart"/>
            <w:r w:rsidRPr="009640C9">
              <w:t>Piepmeier</w:t>
            </w:r>
            <w:proofErr w:type="spellEnd"/>
            <w:r w:rsidRPr="009640C9">
              <w:t>, eds. Boston</w:t>
            </w:r>
            <w:r w:rsidRPr="00220BCC">
              <w:t xml:space="preserve">: Northeastern </w:t>
            </w:r>
            <w:r w:rsidRPr="00F609EB">
              <w:t>University Press: 294-307.</w:t>
            </w:r>
          </w:p>
          <w:p w:rsidR="00870611" w:rsidRPr="00220BCC" w:rsidRDefault="00870611" w:rsidP="00EA6EE6">
            <w:pPr>
              <w:pStyle w:val="ListParagraph"/>
              <w:widowControl w:val="0"/>
              <w:numPr>
                <w:ilvl w:val="0"/>
                <w:numId w:val="11"/>
              </w:numPr>
              <w:autoSpaceDE w:val="0"/>
              <w:autoSpaceDN w:val="0"/>
              <w:adjustRightInd w:val="0"/>
              <w:spacing w:after="120"/>
              <w:contextualSpacing w:val="0"/>
            </w:pPr>
            <w:r w:rsidRPr="00220BCC">
              <w:lastRenderedPageBreak/>
              <w:t xml:space="preserve">Roxanne Gay, </w:t>
            </w:r>
            <w:r w:rsidRPr="00220BCC">
              <w:rPr>
                <w:i/>
              </w:rPr>
              <w:t>Bad Feminist</w:t>
            </w:r>
            <w:r w:rsidRPr="00220BCC">
              <w:t xml:space="preserve"> (selected essays</w:t>
            </w:r>
            <w:r>
              <w:t xml:space="preserve"> from </w:t>
            </w:r>
            <w:r w:rsidR="00D27912">
              <w:t>the “</w:t>
            </w:r>
            <w:r w:rsidRPr="00D27912">
              <w:t>gender and sexuality</w:t>
            </w:r>
            <w:r w:rsidR="00D27912">
              <w:t>”</w:t>
            </w:r>
            <w:r>
              <w:t xml:space="preserve"> section</w:t>
            </w:r>
            <w:r w:rsidRPr="00220BCC">
              <w:t>)</w:t>
            </w:r>
            <w:r>
              <w:t>:</w:t>
            </w:r>
          </w:p>
          <w:p w:rsidR="00870611" w:rsidRPr="00220BCC" w:rsidRDefault="00870611" w:rsidP="00EA6EE6">
            <w:pPr>
              <w:pStyle w:val="ListParagraph"/>
              <w:numPr>
                <w:ilvl w:val="1"/>
                <w:numId w:val="11"/>
              </w:numPr>
            </w:pPr>
            <w:r w:rsidRPr="00220BCC">
              <w:t>“How to be Friends with Another Woman”</w:t>
            </w:r>
            <w:r>
              <w:t xml:space="preserve"> </w:t>
            </w:r>
          </w:p>
          <w:p w:rsidR="00870611" w:rsidRPr="00220BCC" w:rsidRDefault="00870611" w:rsidP="00EA6EE6">
            <w:pPr>
              <w:pStyle w:val="ListParagraph"/>
              <w:numPr>
                <w:ilvl w:val="1"/>
                <w:numId w:val="11"/>
              </w:numPr>
            </w:pPr>
            <w:r>
              <w:t>“Girls, Girls, Girls”</w:t>
            </w:r>
          </w:p>
          <w:p w:rsidR="00870611" w:rsidRPr="00220BCC" w:rsidRDefault="00870611" w:rsidP="00EA6EE6">
            <w:pPr>
              <w:pStyle w:val="ListParagraph"/>
              <w:numPr>
                <w:ilvl w:val="1"/>
                <w:numId w:val="11"/>
              </w:numPr>
            </w:pPr>
            <w:r>
              <w:t>“Garish, Glorious Spectacles”</w:t>
            </w:r>
          </w:p>
          <w:p w:rsidR="00870611" w:rsidRPr="00220BCC" w:rsidRDefault="00870611" w:rsidP="00EA6EE6">
            <w:pPr>
              <w:pStyle w:val="ListParagraph"/>
              <w:numPr>
                <w:ilvl w:val="1"/>
                <w:numId w:val="11"/>
              </w:numPr>
            </w:pPr>
            <w:r w:rsidRPr="00220BCC">
              <w:t>“The Careless Language of Sexual</w:t>
            </w:r>
            <w:r>
              <w:t xml:space="preserve"> Violence”</w:t>
            </w:r>
          </w:p>
          <w:p w:rsidR="00870611" w:rsidRPr="00647D10" w:rsidRDefault="00870611" w:rsidP="00EA6EE6">
            <w:pPr>
              <w:pStyle w:val="ListParagraph"/>
              <w:numPr>
                <w:ilvl w:val="1"/>
                <w:numId w:val="11"/>
              </w:numPr>
            </w:pPr>
            <w:r w:rsidRPr="00220BCC">
              <w:t>“</w:t>
            </w:r>
            <w:r>
              <w:t xml:space="preserve">The Spectacle of Broken Men” </w:t>
            </w:r>
          </w:p>
          <w:p w:rsidR="002435BC" w:rsidRDefault="002435BC" w:rsidP="00C0123C"/>
          <w:p w:rsidR="00870611" w:rsidRPr="00C84CC8" w:rsidRDefault="00870611" w:rsidP="00870611">
            <w:pPr>
              <w:rPr>
                <w:szCs w:val="23"/>
              </w:rPr>
            </w:pPr>
            <w:r w:rsidRPr="00FB4996">
              <w:rPr>
                <w:szCs w:val="23"/>
                <w:u w:val="single"/>
              </w:rPr>
              <w:t>Recommended Readings</w:t>
            </w:r>
            <w:r>
              <w:rPr>
                <w:szCs w:val="23"/>
              </w:rPr>
              <w:t>:</w:t>
            </w:r>
          </w:p>
          <w:p w:rsidR="005F3AB8" w:rsidRDefault="005F3AB8" w:rsidP="00EA6EE6">
            <w:pPr>
              <w:pStyle w:val="ListParagraph"/>
              <w:numPr>
                <w:ilvl w:val="0"/>
                <w:numId w:val="11"/>
              </w:numPr>
              <w:spacing w:after="120"/>
              <w:ind w:left="357" w:hanging="357"/>
              <w:contextualSpacing w:val="0"/>
            </w:pPr>
            <w:proofErr w:type="spellStart"/>
            <w:r w:rsidRPr="00F609EB">
              <w:t>Schippers</w:t>
            </w:r>
            <w:proofErr w:type="spellEnd"/>
            <w:r w:rsidRPr="00F609EB">
              <w:t xml:space="preserve">, Mimi. 2003. “Rocking the Gender Order.” In </w:t>
            </w:r>
            <w:r w:rsidRPr="00F609EB">
              <w:rPr>
                <w:i/>
              </w:rPr>
              <w:t>Catching a Wave: Reclaiming Feminism for the 21</w:t>
            </w:r>
            <w:r w:rsidRPr="00F609EB">
              <w:rPr>
                <w:i/>
                <w:vertAlign w:val="superscript"/>
              </w:rPr>
              <w:t>st</w:t>
            </w:r>
            <w:r w:rsidRPr="00F609EB">
              <w:rPr>
                <w:i/>
              </w:rPr>
              <w:t xml:space="preserve"> Century</w:t>
            </w:r>
            <w:r w:rsidRPr="00F609EB">
              <w:t xml:space="preserve">, Rory Dicker and Alison </w:t>
            </w:r>
            <w:proofErr w:type="spellStart"/>
            <w:r w:rsidRPr="00F609EB">
              <w:t>Piepmeier</w:t>
            </w:r>
            <w:proofErr w:type="spellEnd"/>
            <w:r w:rsidRPr="00F609EB">
              <w:t>, eds. Boston: Northeastern University Press: 279-293.</w:t>
            </w:r>
          </w:p>
          <w:p w:rsidR="00870611" w:rsidRDefault="00DA29D6" w:rsidP="00EA6EE6">
            <w:pPr>
              <w:pStyle w:val="ListParagraph"/>
              <w:widowControl w:val="0"/>
              <w:numPr>
                <w:ilvl w:val="0"/>
                <w:numId w:val="11"/>
              </w:numPr>
              <w:autoSpaceDE w:val="0"/>
              <w:autoSpaceDN w:val="0"/>
              <w:adjustRightInd w:val="0"/>
              <w:spacing w:after="120"/>
              <w:ind w:left="357" w:hanging="357"/>
              <w:contextualSpacing w:val="0"/>
            </w:pPr>
            <w:r w:rsidRPr="00F609EB">
              <w:t xml:space="preserve">Butler, Jess. 2013. “For White Girls Only?: </w:t>
            </w:r>
            <w:proofErr w:type="spellStart"/>
            <w:r w:rsidRPr="00F609EB">
              <w:t>Postfeminism</w:t>
            </w:r>
            <w:proofErr w:type="spellEnd"/>
            <w:r w:rsidRPr="00F609EB">
              <w:t xml:space="preserve"> and the Politics of Inclusion.” </w:t>
            </w:r>
            <w:r w:rsidRPr="00F609EB">
              <w:rPr>
                <w:i/>
              </w:rPr>
              <w:t>Feminist Formations</w:t>
            </w:r>
            <w:r w:rsidRPr="00F609EB">
              <w:t xml:space="preserve"> 25(1): 35-58. </w:t>
            </w:r>
          </w:p>
          <w:p w:rsidR="005F3AB8" w:rsidRPr="00F609EB" w:rsidRDefault="005F3AB8" w:rsidP="00EA6EE6">
            <w:pPr>
              <w:pStyle w:val="ListParagraph"/>
              <w:widowControl w:val="0"/>
              <w:numPr>
                <w:ilvl w:val="0"/>
                <w:numId w:val="11"/>
              </w:numPr>
              <w:autoSpaceDE w:val="0"/>
              <w:autoSpaceDN w:val="0"/>
              <w:adjustRightInd w:val="0"/>
              <w:spacing w:after="120"/>
              <w:ind w:left="357" w:hanging="357"/>
              <w:contextualSpacing w:val="0"/>
            </w:pPr>
            <w:r w:rsidRPr="00220BCC">
              <w:t xml:space="preserve">Showden, Carisa R. 2009. “What’s Political About the New Feminisms?” </w:t>
            </w:r>
            <w:r w:rsidRPr="00870611">
              <w:rPr>
                <w:i/>
              </w:rPr>
              <w:t xml:space="preserve">Frontiers: A Journal of Women </w:t>
            </w:r>
            <w:r w:rsidRPr="00F609EB">
              <w:rPr>
                <w:i/>
              </w:rPr>
              <w:t>Studies</w:t>
            </w:r>
            <w:r w:rsidRPr="00F609EB">
              <w:t xml:space="preserve"> 30(2): 166-198.</w:t>
            </w:r>
          </w:p>
          <w:p w:rsidR="00FA749A" w:rsidRDefault="00870611" w:rsidP="00EA6EE6">
            <w:pPr>
              <w:pStyle w:val="ListParagraph"/>
              <w:widowControl w:val="0"/>
              <w:numPr>
                <w:ilvl w:val="0"/>
                <w:numId w:val="11"/>
              </w:numPr>
              <w:autoSpaceDE w:val="0"/>
              <w:autoSpaceDN w:val="0"/>
              <w:adjustRightInd w:val="0"/>
              <w:spacing w:after="120"/>
              <w:ind w:left="357" w:hanging="357"/>
              <w:contextualSpacing w:val="0"/>
            </w:pPr>
            <w:r w:rsidRPr="005C31B3">
              <w:t xml:space="preserve">Henry, Astrid. 2003. “Feminism’s Family Problem: Feminist Generations and the Mother-Daughter Trope.” In </w:t>
            </w:r>
            <w:r w:rsidRPr="00870611">
              <w:rPr>
                <w:i/>
              </w:rPr>
              <w:t>Catching a Wave: Reclaiming Feminism for the 21</w:t>
            </w:r>
            <w:r w:rsidRPr="00870611">
              <w:rPr>
                <w:i/>
                <w:vertAlign w:val="superscript"/>
              </w:rPr>
              <w:t>st</w:t>
            </w:r>
            <w:r w:rsidRPr="00870611">
              <w:rPr>
                <w:i/>
              </w:rPr>
              <w:t xml:space="preserve"> Century</w:t>
            </w:r>
            <w:r w:rsidRPr="005C31B3">
              <w:t xml:space="preserve">, Rory Dicker and Alison </w:t>
            </w:r>
            <w:proofErr w:type="spellStart"/>
            <w:r w:rsidRPr="005C31B3">
              <w:t>Piepmeier</w:t>
            </w:r>
            <w:proofErr w:type="spellEnd"/>
            <w:r w:rsidRPr="005C31B3">
              <w:t>, eds. Boston: Northeastern University Press: 209-231.</w:t>
            </w:r>
          </w:p>
          <w:p w:rsidR="003632DF" w:rsidRPr="007B68DB" w:rsidRDefault="00FA749A" w:rsidP="00EA6EE6">
            <w:pPr>
              <w:pStyle w:val="ListParagraph"/>
              <w:numPr>
                <w:ilvl w:val="0"/>
                <w:numId w:val="11"/>
              </w:numPr>
            </w:pPr>
            <w:r w:rsidRPr="00220BCC">
              <w:t>Mane, Rebecca L. Clark. 2012. “</w:t>
            </w:r>
            <w:r w:rsidRPr="00870611">
              <w:rPr>
                <w:color w:val="221E1F"/>
              </w:rPr>
              <w:t xml:space="preserve">Transmuting Grammars of Whiteness in Third-Wave Feminism: Interrogating Post-race Histories, Postmodern Abstraction, and the Proliferation of Difference in Third-Wave Texts.” </w:t>
            </w:r>
            <w:r w:rsidRPr="00870611">
              <w:rPr>
                <w:i/>
                <w:color w:val="221E1F"/>
              </w:rPr>
              <w:t>Signs</w:t>
            </w:r>
            <w:r w:rsidRPr="00870611">
              <w:rPr>
                <w:color w:val="221E1F"/>
              </w:rPr>
              <w:t xml:space="preserve"> 38 (1): 71-98.</w:t>
            </w:r>
            <w:r w:rsidR="00870611">
              <w:rPr>
                <w:color w:val="221E1F"/>
              </w:rPr>
              <w:t xml:space="preserve"> </w:t>
            </w:r>
          </w:p>
        </w:tc>
      </w:tr>
      <w:tr w:rsidR="003632DF" w:rsidRPr="00220BCC">
        <w:tc>
          <w:tcPr>
            <w:tcW w:w="3168" w:type="dxa"/>
            <w:tcBorders>
              <w:bottom w:val="single" w:sz="4" w:space="0" w:color="000000" w:themeColor="text1"/>
            </w:tcBorders>
          </w:tcPr>
          <w:p w:rsidR="003632DF" w:rsidRPr="00220BCC" w:rsidRDefault="003632DF" w:rsidP="003632DF">
            <w:pPr>
              <w:rPr>
                <w:b/>
              </w:rPr>
            </w:pPr>
            <w:r>
              <w:rPr>
                <w:b/>
                <w:u w:val="single"/>
              </w:rPr>
              <w:lastRenderedPageBreak/>
              <w:t>Week</w:t>
            </w:r>
            <w:r w:rsidRPr="00220BCC">
              <w:rPr>
                <w:b/>
                <w:u w:val="single"/>
              </w:rPr>
              <w:t xml:space="preserve"> 6:</w:t>
            </w:r>
          </w:p>
          <w:p w:rsidR="003E1B8E" w:rsidRPr="00C0123C" w:rsidRDefault="003E1B8E" w:rsidP="003632DF">
            <w:r w:rsidRPr="00C0123C">
              <w:t>Monday 10 April</w:t>
            </w:r>
          </w:p>
          <w:p w:rsidR="003E1B8E" w:rsidRPr="00C0123C" w:rsidRDefault="003E1B8E" w:rsidP="003632DF">
            <w:r w:rsidRPr="00C0123C">
              <w:t>&amp;</w:t>
            </w:r>
          </w:p>
          <w:p w:rsidR="002428F7" w:rsidRDefault="003E1B8E" w:rsidP="003632DF">
            <w:r w:rsidRPr="00C0123C">
              <w:t>Tuesday 11 April</w:t>
            </w:r>
          </w:p>
          <w:p w:rsidR="002428F7" w:rsidRDefault="002428F7" w:rsidP="003632DF"/>
          <w:p w:rsidR="008055DB" w:rsidRDefault="00142152" w:rsidP="00350F38">
            <w:pPr>
              <w:rPr>
                <w:b/>
              </w:rPr>
            </w:pPr>
            <w:r w:rsidRPr="00794470">
              <w:rPr>
                <w:b/>
              </w:rPr>
              <w:t>Thinking Masculinity</w:t>
            </w:r>
            <w:r w:rsidR="00350F38">
              <w:rPr>
                <w:b/>
              </w:rPr>
              <w:t xml:space="preserve"> Beyond Heteronormativity</w:t>
            </w:r>
          </w:p>
          <w:p w:rsidR="008055DB" w:rsidRDefault="008055DB" w:rsidP="00350F38">
            <w:pPr>
              <w:rPr>
                <w:b/>
              </w:rPr>
            </w:pPr>
          </w:p>
          <w:p w:rsidR="003632DF" w:rsidRPr="00C0123C" w:rsidRDefault="008055DB" w:rsidP="008055DB">
            <w:pPr>
              <w:rPr>
                <w:b/>
              </w:rPr>
            </w:pPr>
            <w:r>
              <w:rPr>
                <w:b/>
                <w:color w:val="FF0000"/>
              </w:rPr>
              <w:t>Reading Analysis II paper due at the beginning of class, Monday 10 April</w:t>
            </w:r>
          </w:p>
        </w:tc>
        <w:tc>
          <w:tcPr>
            <w:tcW w:w="6154" w:type="dxa"/>
            <w:tcBorders>
              <w:bottom w:val="single" w:sz="4" w:space="0" w:color="000000" w:themeColor="text1"/>
            </w:tcBorders>
          </w:tcPr>
          <w:p w:rsidR="00142152" w:rsidRDefault="00142152" w:rsidP="00EA6EE6">
            <w:pPr>
              <w:pStyle w:val="ListParagraph"/>
              <w:numPr>
                <w:ilvl w:val="0"/>
                <w:numId w:val="12"/>
              </w:numPr>
              <w:spacing w:after="120"/>
              <w:ind w:right="-164"/>
              <w:contextualSpacing w:val="0"/>
            </w:pPr>
            <w:r>
              <w:t>Potts, Annie and Jovian Parry. 2010. “Vegan Sexuality: Challenging Heter</w:t>
            </w:r>
            <w:r w:rsidR="005F3AB8">
              <w:t>o</w:t>
            </w:r>
            <w:r>
              <w:t xml:space="preserve">normative Masculinity through Meat-free Sex.” </w:t>
            </w:r>
            <w:r w:rsidRPr="00375BA3">
              <w:rPr>
                <w:i/>
              </w:rPr>
              <w:t>Feminism and Psychology</w:t>
            </w:r>
            <w:r>
              <w:t xml:space="preserve"> 20(1): 53-72.</w:t>
            </w:r>
          </w:p>
          <w:p w:rsidR="00375BA3" w:rsidRPr="00375BA3" w:rsidRDefault="00142152" w:rsidP="00EA6EE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164"/>
              <w:contextualSpacing w:val="0"/>
            </w:pPr>
            <w:r w:rsidRPr="00220BCC">
              <w:rPr>
                <w:szCs w:val="23"/>
              </w:rPr>
              <w:t xml:space="preserve">Pascoe, C. J. 2005. “‘Dude, You're a Fag’: Adolescent Masculinity and the Fag Discourse.” </w:t>
            </w:r>
            <w:r w:rsidRPr="00220BCC">
              <w:rPr>
                <w:i/>
                <w:iCs/>
                <w:szCs w:val="23"/>
              </w:rPr>
              <w:t xml:space="preserve">Sexualities </w:t>
            </w:r>
            <w:r w:rsidRPr="00220BCC">
              <w:rPr>
                <w:iCs/>
                <w:szCs w:val="23"/>
              </w:rPr>
              <w:t>8:</w:t>
            </w:r>
            <w:r w:rsidRPr="00220BCC">
              <w:rPr>
                <w:szCs w:val="23"/>
              </w:rPr>
              <w:t xml:space="preserve"> 329-346.</w:t>
            </w:r>
          </w:p>
          <w:p w:rsidR="00142152" w:rsidRDefault="00626092" w:rsidP="00EA6EE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164"/>
              <w:contextualSpacing w:val="0"/>
            </w:pPr>
            <w:r>
              <w:t>hooks, bell. 2004. “Don’t Make Me Hurt You: Black</w:t>
            </w:r>
            <w:r w:rsidR="00350F38">
              <w:t xml:space="preserve"> Male Violence.” Chapter 4 of </w:t>
            </w:r>
            <w:r w:rsidR="00350F38">
              <w:rPr>
                <w:i/>
              </w:rPr>
              <w:t>We Real Cool: Black Men and Masculinity</w:t>
            </w:r>
            <w:r w:rsidR="00350F38">
              <w:t>. New York: Routledge, 47-66.</w:t>
            </w:r>
          </w:p>
          <w:p w:rsidR="00F609EB" w:rsidRDefault="00F609EB" w:rsidP="00350F38">
            <w:pPr>
              <w:ind w:right="-164"/>
            </w:pPr>
          </w:p>
          <w:p w:rsidR="00F609EB" w:rsidRDefault="00F609EB" w:rsidP="00F609EB">
            <w:pPr>
              <w:rPr>
                <w:u w:val="single"/>
              </w:rPr>
            </w:pPr>
            <w:r>
              <w:rPr>
                <w:u w:val="single"/>
              </w:rPr>
              <w:t>Recommended Readings</w:t>
            </w:r>
          </w:p>
          <w:p w:rsidR="00350F38" w:rsidRPr="00350F38" w:rsidRDefault="00350F38" w:rsidP="00EA6EE6">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right="-288"/>
              <w:contextualSpacing w:val="0"/>
            </w:pPr>
            <w:r>
              <w:t xml:space="preserve">Burke, </w:t>
            </w:r>
            <w:proofErr w:type="spellStart"/>
            <w:r>
              <w:t>Kelsy</w:t>
            </w:r>
            <w:proofErr w:type="spellEnd"/>
            <w:r>
              <w:t xml:space="preserve"> and Amy </w:t>
            </w:r>
            <w:proofErr w:type="spellStart"/>
            <w:r>
              <w:t>Moff</w:t>
            </w:r>
            <w:proofErr w:type="spellEnd"/>
            <w:r>
              <w:t xml:space="preserve"> </w:t>
            </w:r>
            <w:proofErr w:type="spellStart"/>
            <w:r>
              <w:t>Hudec</w:t>
            </w:r>
            <w:proofErr w:type="spellEnd"/>
            <w:r>
              <w:t xml:space="preserve">. 2015. “Sexual Encounters and Manhood Acts: Evangelicals, Latter-Day Saints, and Religious Masculinities.” </w:t>
            </w:r>
            <w:r w:rsidRPr="00375BA3">
              <w:rPr>
                <w:i/>
              </w:rPr>
              <w:t>Journal for the Scientific Study of Religion</w:t>
            </w:r>
            <w:r>
              <w:t xml:space="preserve"> 54(2): 330-344.</w:t>
            </w:r>
          </w:p>
          <w:p w:rsidR="00F609EB" w:rsidRPr="00F609EB" w:rsidRDefault="00F609EB" w:rsidP="00EA6EE6">
            <w:pPr>
              <w:pStyle w:val="ListParagraph"/>
              <w:numPr>
                <w:ilvl w:val="0"/>
                <w:numId w:val="14"/>
              </w:numPr>
              <w:rPr>
                <w:u w:val="single"/>
              </w:rPr>
            </w:pPr>
            <w:r>
              <w:t xml:space="preserve">Connell, R. W. 2005. “Change Among the Gatekeepers: Men, Masculinities, and Gender Equality in the Global Arena.” </w:t>
            </w:r>
            <w:r w:rsidRPr="00F609EB">
              <w:rPr>
                <w:i/>
              </w:rPr>
              <w:t>Signs</w:t>
            </w:r>
            <w:r>
              <w:t xml:space="preserve"> 30(3): 1801-1825.</w:t>
            </w:r>
          </w:p>
          <w:p w:rsidR="003632DF" w:rsidRPr="00582A44" w:rsidRDefault="003632DF" w:rsidP="00142152">
            <w:pPr>
              <w:widowControl w:val="0"/>
              <w:autoSpaceDE w:val="0"/>
              <w:autoSpaceDN w:val="0"/>
              <w:adjustRightInd w:val="0"/>
              <w:ind w:right="-20"/>
            </w:pPr>
          </w:p>
        </w:tc>
      </w:tr>
      <w:tr w:rsidR="00C0123C" w:rsidRPr="00220BCC">
        <w:tc>
          <w:tcPr>
            <w:tcW w:w="9322" w:type="dxa"/>
            <w:gridSpan w:val="2"/>
            <w:tcBorders>
              <w:bottom w:val="single" w:sz="4" w:space="0" w:color="000000" w:themeColor="text1"/>
            </w:tcBorders>
          </w:tcPr>
          <w:p w:rsidR="00C0123C" w:rsidRDefault="00C0123C" w:rsidP="003E1B8E">
            <w:pPr>
              <w:jc w:val="center"/>
            </w:pPr>
          </w:p>
          <w:p w:rsidR="00C0123C" w:rsidRPr="00220BCC" w:rsidRDefault="00C0123C" w:rsidP="003E1B8E">
            <w:pPr>
              <w:jc w:val="center"/>
            </w:pPr>
            <w:r w:rsidRPr="00220BCC">
              <w:t>MID-SEMESTER TEACHING BREAK</w:t>
            </w:r>
          </w:p>
          <w:p w:rsidR="00C0123C" w:rsidRPr="00220BCC" w:rsidRDefault="00C0123C" w:rsidP="003632DF">
            <w:pPr>
              <w:rPr>
                <w:b/>
                <w:u w:val="single"/>
              </w:rPr>
            </w:pPr>
          </w:p>
        </w:tc>
      </w:tr>
      <w:tr w:rsidR="003E1B8E" w:rsidRPr="00220BCC">
        <w:tc>
          <w:tcPr>
            <w:tcW w:w="3168" w:type="dxa"/>
            <w:tcBorders>
              <w:bottom w:val="single" w:sz="4" w:space="0" w:color="000000" w:themeColor="text1"/>
            </w:tcBorders>
          </w:tcPr>
          <w:p w:rsidR="003E1B8E" w:rsidRPr="00220BCC" w:rsidRDefault="003E1B8E">
            <w:pPr>
              <w:rPr>
                <w:b/>
                <w:u w:val="single"/>
              </w:rPr>
            </w:pPr>
            <w:r w:rsidRPr="00220BCC">
              <w:rPr>
                <w:b/>
                <w:u w:val="single"/>
              </w:rPr>
              <w:t>W</w:t>
            </w:r>
            <w:r>
              <w:rPr>
                <w:b/>
                <w:u w:val="single"/>
              </w:rPr>
              <w:t>eek</w:t>
            </w:r>
            <w:r w:rsidRPr="00220BCC">
              <w:rPr>
                <w:b/>
                <w:u w:val="single"/>
              </w:rPr>
              <w:t xml:space="preserve"> 7:</w:t>
            </w:r>
          </w:p>
          <w:p w:rsidR="00C0123C" w:rsidRDefault="00C0123C" w:rsidP="003632DF">
            <w:r>
              <w:t>Monday 1 May</w:t>
            </w:r>
          </w:p>
          <w:p w:rsidR="00C0123C" w:rsidRDefault="00C0123C" w:rsidP="003632DF">
            <w:r>
              <w:t>&amp;</w:t>
            </w:r>
          </w:p>
          <w:p w:rsidR="003E1B8E" w:rsidRPr="00220BCC" w:rsidRDefault="00C0123C" w:rsidP="003632DF">
            <w:r>
              <w:t>Tuesday 2 May</w:t>
            </w:r>
          </w:p>
          <w:p w:rsidR="002428F7" w:rsidRDefault="002428F7" w:rsidP="003632DF">
            <w:pPr>
              <w:rPr>
                <w:b/>
              </w:rPr>
            </w:pPr>
          </w:p>
          <w:p w:rsidR="00142152" w:rsidRPr="00794470" w:rsidRDefault="00142152" w:rsidP="00142152">
            <w:pPr>
              <w:rPr>
                <w:b/>
              </w:rPr>
            </w:pPr>
            <w:r w:rsidRPr="00794470">
              <w:rPr>
                <w:b/>
              </w:rPr>
              <w:t xml:space="preserve">Postcolonial, </w:t>
            </w:r>
            <w:proofErr w:type="spellStart"/>
            <w:r w:rsidRPr="00794470">
              <w:rPr>
                <w:b/>
              </w:rPr>
              <w:t>Decolonial</w:t>
            </w:r>
            <w:proofErr w:type="spellEnd"/>
            <w:r w:rsidRPr="00794470">
              <w:rPr>
                <w:b/>
              </w:rPr>
              <w:t>, and Transnational Critiques of Feminist Conceptions of Gender (Studies)</w:t>
            </w:r>
          </w:p>
          <w:p w:rsidR="002428F7" w:rsidRDefault="002428F7" w:rsidP="003632DF">
            <w:pPr>
              <w:rPr>
                <w:b/>
              </w:rPr>
            </w:pPr>
          </w:p>
          <w:p w:rsidR="003D7B03" w:rsidRDefault="003D7B03" w:rsidP="00D61956">
            <w:pPr>
              <w:rPr>
                <w:b/>
                <w:color w:val="FF0000"/>
              </w:rPr>
            </w:pPr>
          </w:p>
          <w:p w:rsidR="003E1B8E" w:rsidRPr="00D61956" w:rsidRDefault="003E1B8E" w:rsidP="00D61956">
            <w:pPr>
              <w:rPr>
                <w:b/>
                <w:color w:val="FF0000"/>
              </w:rPr>
            </w:pPr>
          </w:p>
        </w:tc>
        <w:tc>
          <w:tcPr>
            <w:tcW w:w="6154" w:type="dxa"/>
            <w:tcBorders>
              <w:bottom w:val="single" w:sz="4" w:space="0" w:color="000000" w:themeColor="text1"/>
            </w:tcBorders>
          </w:tcPr>
          <w:p w:rsidR="00142152" w:rsidRPr="00220BCC" w:rsidRDefault="00142152" w:rsidP="00EA6EE6">
            <w:pPr>
              <w:pStyle w:val="ListParagraph"/>
              <w:numPr>
                <w:ilvl w:val="0"/>
                <w:numId w:val="13"/>
              </w:numPr>
              <w:spacing w:after="120"/>
              <w:contextualSpacing w:val="0"/>
            </w:pPr>
            <w:r w:rsidRPr="00220BCC">
              <w:t xml:space="preserve">Simmonds, Naomi. 2011. “Mana </w:t>
            </w:r>
            <w:proofErr w:type="spellStart"/>
            <w:r w:rsidRPr="00220BCC">
              <w:t>Wahine</w:t>
            </w:r>
            <w:proofErr w:type="spellEnd"/>
            <w:r w:rsidRPr="00220BCC">
              <w:t>: “</w:t>
            </w:r>
            <w:proofErr w:type="spellStart"/>
            <w:r w:rsidRPr="00220BCC">
              <w:t>Decolonising</w:t>
            </w:r>
            <w:proofErr w:type="spellEnd"/>
            <w:r w:rsidRPr="00220BCC">
              <w:t xml:space="preserve">  Politics.” </w:t>
            </w:r>
            <w:r w:rsidRPr="00375BA3">
              <w:rPr>
                <w:i/>
              </w:rPr>
              <w:t>Women’s Studies Journal</w:t>
            </w:r>
            <w:r w:rsidRPr="00220BCC">
              <w:t xml:space="preserve"> 25(2): 11-25. </w:t>
            </w:r>
          </w:p>
          <w:p w:rsidR="00142152" w:rsidRDefault="00142152" w:rsidP="00EA6EE6">
            <w:pPr>
              <w:pStyle w:val="ListParagraph"/>
              <w:numPr>
                <w:ilvl w:val="0"/>
                <w:numId w:val="13"/>
              </w:numPr>
              <w:spacing w:after="120"/>
            </w:pPr>
            <w:r w:rsidRPr="00220BCC">
              <w:t xml:space="preserve">Hua, </w:t>
            </w:r>
            <w:proofErr w:type="spellStart"/>
            <w:r w:rsidRPr="00220BCC">
              <w:t>Julietta</w:t>
            </w:r>
            <w:proofErr w:type="spellEnd"/>
            <w:r w:rsidRPr="00220BCC">
              <w:t xml:space="preserve"> and Holly </w:t>
            </w:r>
            <w:proofErr w:type="spellStart"/>
            <w:r w:rsidRPr="00220BCC">
              <w:t>Nigorizawa</w:t>
            </w:r>
            <w:proofErr w:type="spellEnd"/>
            <w:r w:rsidRPr="00220BCC">
              <w:t xml:space="preserve">. 2010. “US Sex Trafficking, Women’s Human Rights and the Politics of Representation.” </w:t>
            </w:r>
            <w:r w:rsidRPr="00375BA3">
              <w:rPr>
                <w:i/>
              </w:rPr>
              <w:t>International Feminist Journal of Politics</w:t>
            </w:r>
            <w:r w:rsidRPr="00220BCC">
              <w:t>, 12 (3-4):  401-423.</w:t>
            </w:r>
          </w:p>
          <w:p w:rsidR="00142152" w:rsidRPr="009F010F" w:rsidRDefault="00142152" w:rsidP="00142152">
            <w:pPr>
              <w:spacing w:after="120"/>
              <w:rPr>
                <w:u w:val="single"/>
              </w:rPr>
            </w:pPr>
            <w:r w:rsidRPr="009F010F">
              <w:rPr>
                <w:u w:val="single"/>
              </w:rPr>
              <w:t>Recommended Reading</w:t>
            </w:r>
            <w:r w:rsidR="00000AB1">
              <w:rPr>
                <w:u w:val="single"/>
              </w:rPr>
              <w:t>s</w:t>
            </w:r>
            <w:r w:rsidRPr="009F010F">
              <w:rPr>
                <w:u w:val="single"/>
              </w:rPr>
              <w:t>:</w:t>
            </w:r>
          </w:p>
          <w:p w:rsidR="00142152" w:rsidRPr="009F010F" w:rsidRDefault="00142152" w:rsidP="00EA6EE6">
            <w:pPr>
              <w:pStyle w:val="ListParagraph"/>
              <w:numPr>
                <w:ilvl w:val="0"/>
                <w:numId w:val="5"/>
              </w:numPr>
              <w:spacing w:after="120"/>
              <w:contextualSpacing w:val="0"/>
              <w:rPr>
                <w:rFonts w:cs="Times New Roman"/>
                <w:b/>
                <w:szCs w:val="22"/>
              </w:rPr>
            </w:pPr>
            <w:proofErr w:type="spellStart"/>
            <w:r w:rsidRPr="00AC5E3C">
              <w:rPr>
                <w:rFonts w:cs="Times New Roman"/>
                <w:szCs w:val="22"/>
              </w:rPr>
              <w:t>Anzaldúa</w:t>
            </w:r>
            <w:proofErr w:type="spellEnd"/>
            <w:r w:rsidRPr="00AC5E3C">
              <w:rPr>
                <w:rFonts w:cs="Times New Roman"/>
                <w:szCs w:val="22"/>
              </w:rPr>
              <w:t xml:space="preserve">, Gloria. 1990. “La </w:t>
            </w:r>
            <w:proofErr w:type="spellStart"/>
            <w:r w:rsidRPr="00AC5E3C">
              <w:rPr>
                <w:rFonts w:cs="Times New Roman"/>
                <w:szCs w:val="22"/>
              </w:rPr>
              <w:t>Conciencia</w:t>
            </w:r>
            <w:proofErr w:type="spellEnd"/>
            <w:r w:rsidRPr="00AC5E3C">
              <w:rPr>
                <w:rFonts w:cs="Times New Roman"/>
                <w:szCs w:val="22"/>
              </w:rPr>
              <w:t xml:space="preserve"> de la Mestiza: Towards a New Consciousness.” In </w:t>
            </w:r>
            <w:r w:rsidRPr="00AC5E3C">
              <w:rPr>
                <w:rFonts w:cs="Times New Roman"/>
                <w:i/>
                <w:szCs w:val="22"/>
              </w:rPr>
              <w:t>Making Face, Making Soul (</w:t>
            </w:r>
            <w:proofErr w:type="spellStart"/>
            <w:r w:rsidRPr="00AC5E3C">
              <w:rPr>
                <w:rFonts w:cs="Times New Roman"/>
                <w:i/>
                <w:szCs w:val="22"/>
              </w:rPr>
              <w:t>Haciendo</w:t>
            </w:r>
            <w:proofErr w:type="spellEnd"/>
            <w:r w:rsidRPr="00AC5E3C">
              <w:rPr>
                <w:rFonts w:cs="Times New Roman"/>
                <w:i/>
                <w:szCs w:val="22"/>
              </w:rPr>
              <w:t xml:space="preserve"> </w:t>
            </w:r>
            <w:proofErr w:type="spellStart"/>
            <w:r w:rsidRPr="00AC5E3C">
              <w:rPr>
                <w:rFonts w:cs="Times New Roman"/>
                <w:i/>
                <w:szCs w:val="22"/>
              </w:rPr>
              <w:t>Caras</w:t>
            </w:r>
            <w:proofErr w:type="spellEnd"/>
            <w:r w:rsidRPr="00AC5E3C">
              <w:rPr>
                <w:rFonts w:cs="Times New Roman"/>
                <w:i/>
                <w:szCs w:val="22"/>
              </w:rPr>
              <w:t>): Creative and Critical Perspectives by Feminists of Color</w:t>
            </w:r>
            <w:r w:rsidRPr="00AC5E3C">
              <w:rPr>
                <w:rFonts w:cs="Times New Roman"/>
                <w:szCs w:val="22"/>
              </w:rPr>
              <w:t xml:space="preserve">, ed. Gloria </w:t>
            </w:r>
            <w:proofErr w:type="spellStart"/>
            <w:r w:rsidRPr="00AC5E3C">
              <w:rPr>
                <w:rFonts w:cs="Times New Roman"/>
                <w:szCs w:val="22"/>
              </w:rPr>
              <w:t>Anzaldúa</w:t>
            </w:r>
            <w:proofErr w:type="spellEnd"/>
            <w:r w:rsidRPr="00AC5E3C">
              <w:rPr>
                <w:rFonts w:cs="Times New Roman"/>
                <w:szCs w:val="22"/>
              </w:rPr>
              <w:t>. San Francisco: Aunt Lute Books: pp. 377-389.</w:t>
            </w:r>
          </w:p>
          <w:p w:rsidR="00375BA3" w:rsidRDefault="00142152" w:rsidP="00EA6EE6">
            <w:pPr>
              <w:pStyle w:val="ListParagraph"/>
              <w:numPr>
                <w:ilvl w:val="0"/>
                <w:numId w:val="5"/>
              </w:numPr>
              <w:spacing w:after="120"/>
              <w:contextualSpacing w:val="0"/>
            </w:pPr>
            <w:proofErr w:type="spellStart"/>
            <w:r w:rsidRPr="00220BCC">
              <w:t>Mohanty</w:t>
            </w:r>
            <w:proofErr w:type="spellEnd"/>
            <w:r w:rsidRPr="00220BCC">
              <w:t xml:space="preserve">, Chandra </w:t>
            </w:r>
            <w:proofErr w:type="spellStart"/>
            <w:r w:rsidRPr="00220BCC">
              <w:t>Talpade</w:t>
            </w:r>
            <w:proofErr w:type="spellEnd"/>
            <w:r w:rsidRPr="00220BCC">
              <w:t xml:space="preserve">. 1991. “Under Western Eyes: Feminist Scholarship and Colonial Discourses.” In Chandra </w:t>
            </w:r>
            <w:proofErr w:type="spellStart"/>
            <w:r w:rsidRPr="00220BCC">
              <w:t>Talpade</w:t>
            </w:r>
            <w:proofErr w:type="spellEnd"/>
            <w:r w:rsidRPr="00220BCC">
              <w:t xml:space="preserve"> </w:t>
            </w:r>
            <w:proofErr w:type="spellStart"/>
            <w:r w:rsidRPr="00220BCC">
              <w:t>Mohanty</w:t>
            </w:r>
            <w:proofErr w:type="spellEnd"/>
            <w:r w:rsidRPr="00220BCC">
              <w:t xml:space="preserve">, Ann Russo, and Lourdes Torres, ed. </w:t>
            </w:r>
            <w:r w:rsidRPr="00375BA3">
              <w:rPr>
                <w:i/>
              </w:rPr>
              <w:t>Third World Women and the Politics of Feminism</w:t>
            </w:r>
            <w:r w:rsidRPr="00220BCC">
              <w:t>. Bloomington: Indiana University Press: 51-80.</w:t>
            </w:r>
          </w:p>
          <w:p w:rsidR="00375BA3" w:rsidRDefault="00142152" w:rsidP="00EA6EE6">
            <w:pPr>
              <w:pStyle w:val="ListParagraph"/>
              <w:numPr>
                <w:ilvl w:val="0"/>
                <w:numId w:val="5"/>
              </w:numPr>
              <w:spacing w:after="120"/>
              <w:contextualSpacing w:val="0"/>
            </w:pPr>
            <w:proofErr w:type="spellStart"/>
            <w:r w:rsidRPr="00220BCC">
              <w:t>Lugones</w:t>
            </w:r>
            <w:proofErr w:type="spellEnd"/>
            <w:r w:rsidRPr="00220BCC">
              <w:t xml:space="preserve">, Maria . 2010. “Toward a </w:t>
            </w:r>
            <w:proofErr w:type="spellStart"/>
            <w:r w:rsidRPr="00220BCC">
              <w:t>Decolonial</w:t>
            </w:r>
            <w:proofErr w:type="spellEnd"/>
            <w:r w:rsidRPr="00220BCC">
              <w:t xml:space="preserve"> Feminism” </w:t>
            </w:r>
            <w:proofErr w:type="spellStart"/>
            <w:r w:rsidRPr="00375BA3">
              <w:rPr>
                <w:i/>
              </w:rPr>
              <w:t>Hypatia</w:t>
            </w:r>
            <w:proofErr w:type="spellEnd"/>
            <w:r w:rsidRPr="00220BCC">
              <w:t xml:space="preserve"> 25 (4): 742-759.</w:t>
            </w:r>
          </w:p>
          <w:p w:rsidR="003E1B8E" w:rsidRPr="00444BEE" w:rsidRDefault="00142152" w:rsidP="00EA6EE6">
            <w:pPr>
              <w:pStyle w:val="ListParagraph"/>
              <w:numPr>
                <w:ilvl w:val="0"/>
                <w:numId w:val="5"/>
              </w:numPr>
              <w:spacing w:after="120"/>
            </w:pPr>
            <w:r>
              <w:t>Connell, R. W. 2004. “</w:t>
            </w:r>
            <w:proofErr w:type="spellStart"/>
            <w:r>
              <w:t>Globalisation</w:t>
            </w:r>
            <w:proofErr w:type="spellEnd"/>
            <w:r>
              <w:t xml:space="preserve">, Imperialism, and Masculinities.” </w:t>
            </w:r>
            <w:r w:rsidRPr="00375BA3">
              <w:rPr>
                <w:i/>
              </w:rPr>
              <w:t>Handbook of Studies on Men and Masculinities</w:t>
            </w:r>
            <w:r>
              <w:t>, M. S. Kimmel, J. Hearn, and R. W.  Connell, eds. Thousand Oaks, CA: Sage Publications: 71-89.</w:t>
            </w:r>
          </w:p>
        </w:tc>
      </w:tr>
      <w:tr w:rsidR="003E1B8E" w:rsidRPr="00220BCC">
        <w:tc>
          <w:tcPr>
            <w:tcW w:w="3168" w:type="dxa"/>
            <w:tcBorders>
              <w:bottom w:val="single" w:sz="4" w:space="0" w:color="000000" w:themeColor="text1"/>
            </w:tcBorders>
          </w:tcPr>
          <w:p w:rsidR="003E1B8E" w:rsidRPr="00220BCC" w:rsidRDefault="003E1B8E">
            <w:pPr>
              <w:rPr>
                <w:b/>
                <w:u w:val="single"/>
              </w:rPr>
            </w:pPr>
            <w:r w:rsidRPr="00220BCC">
              <w:rPr>
                <w:b/>
                <w:u w:val="single"/>
              </w:rPr>
              <w:t>Week 8:</w:t>
            </w:r>
          </w:p>
          <w:p w:rsidR="00C0123C" w:rsidRDefault="00C0123C" w:rsidP="003632DF">
            <w:r>
              <w:t>Monday 8 May</w:t>
            </w:r>
          </w:p>
          <w:p w:rsidR="00C0123C" w:rsidRDefault="00C0123C" w:rsidP="003632DF">
            <w:r>
              <w:t>&amp;</w:t>
            </w:r>
          </w:p>
          <w:p w:rsidR="002428F7" w:rsidRDefault="00C0123C" w:rsidP="003632DF">
            <w:r>
              <w:t>Tuesday 9 May</w:t>
            </w:r>
          </w:p>
          <w:p w:rsidR="002428F7" w:rsidRDefault="002428F7" w:rsidP="003632DF"/>
          <w:p w:rsidR="00142152" w:rsidRDefault="00142152" w:rsidP="00142152">
            <w:pPr>
              <w:rPr>
                <w:b/>
              </w:rPr>
            </w:pPr>
            <w:r>
              <w:rPr>
                <w:b/>
              </w:rPr>
              <w:t xml:space="preserve">Gender, Agency, and </w:t>
            </w:r>
            <w:r w:rsidRPr="00794470">
              <w:rPr>
                <w:b/>
              </w:rPr>
              <w:t>Critiques of Identity Politics</w:t>
            </w:r>
          </w:p>
          <w:p w:rsidR="003E1B8E" w:rsidRPr="00C0123C" w:rsidRDefault="003E1B8E" w:rsidP="00142152"/>
        </w:tc>
        <w:tc>
          <w:tcPr>
            <w:tcW w:w="6154" w:type="dxa"/>
            <w:tcBorders>
              <w:bottom w:val="single" w:sz="4" w:space="0" w:color="000000" w:themeColor="text1"/>
            </w:tcBorders>
          </w:tcPr>
          <w:p w:rsidR="00142152" w:rsidRDefault="00B03872" w:rsidP="00EA6EE6">
            <w:pPr>
              <w:pStyle w:val="ListParagraph"/>
              <w:numPr>
                <w:ilvl w:val="0"/>
                <w:numId w:val="8"/>
              </w:numPr>
              <w:spacing w:after="120"/>
              <w:contextualSpacing w:val="0"/>
              <w:rPr>
                <w:szCs w:val="23"/>
              </w:rPr>
            </w:pPr>
            <w:r>
              <w:rPr>
                <w:szCs w:val="23"/>
              </w:rPr>
              <w:t xml:space="preserve">Mahmood, Saba. 2010 [2001]. “The Subject of Freedom, from </w:t>
            </w:r>
            <w:r>
              <w:rPr>
                <w:i/>
                <w:szCs w:val="23"/>
              </w:rPr>
              <w:t xml:space="preserve">The </w:t>
            </w:r>
            <w:r w:rsidR="00CF2F41">
              <w:rPr>
                <w:i/>
                <w:szCs w:val="23"/>
              </w:rPr>
              <w:t>Politics</w:t>
            </w:r>
            <w:r>
              <w:rPr>
                <w:i/>
                <w:szCs w:val="23"/>
              </w:rPr>
              <w:t xml:space="preserve"> of Piety</w:t>
            </w:r>
            <w:r>
              <w:rPr>
                <w:szCs w:val="23"/>
              </w:rPr>
              <w:t xml:space="preserve">.” Excerpted in </w:t>
            </w:r>
            <w:r>
              <w:rPr>
                <w:i/>
                <w:szCs w:val="23"/>
              </w:rPr>
              <w:t>Feminist Theory: A Reader, 3</w:t>
            </w:r>
            <w:r w:rsidRPr="00B03872">
              <w:rPr>
                <w:i/>
                <w:szCs w:val="23"/>
                <w:vertAlign w:val="superscript"/>
              </w:rPr>
              <w:t>rd</w:t>
            </w:r>
            <w:r>
              <w:rPr>
                <w:i/>
                <w:szCs w:val="23"/>
              </w:rPr>
              <w:t xml:space="preserve"> edition</w:t>
            </w:r>
            <w:r>
              <w:rPr>
                <w:szCs w:val="23"/>
              </w:rPr>
              <w:t xml:space="preserve">, Wendy K. Kolmar and Frances </w:t>
            </w:r>
            <w:proofErr w:type="spellStart"/>
            <w:r>
              <w:rPr>
                <w:szCs w:val="23"/>
              </w:rPr>
              <w:t>Bartkowski</w:t>
            </w:r>
            <w:proofErr w:type="spellEnd"/>
            <w:r>
              <w:rPr>
                <w:szCs w:val="23"/>
              </w:rPr>
              <w:t xml:space="preserve">, eds. </w:t>
            </w:r>
            <w:r w:rsidR="00597281">
              <w:rPr>
                <w:szCs w:val="23"/>
              </w:rPr>
              <w:t>New York, McGraw Hill: 553-562.</w:t>
            </w:r>
          </w:p>
          <w:p w:rsidR="00142152" w:rsidRPr="00B03872" w:rsidRDefault="00142152" w:rsidP="00EA6EE6">
            <w:pPr>
              <w:pStyle w:val="ListParagraph"/>
              <w:numPr>
                <w:ilvl w:val="0"/>
                <w:numId w:val="8"/>
              </w:numPr>
              <w:spacing w:after="120"/>
              <w:contextualSpacing w:val="0"/>
              <w:rPr>
                <w:color w:val="221E1F"/>
              </w:rPr>
            </w:pPr>
            <w:r w:rsidRPr="00B03872">
              <w:rPr>
                <w:color w:val="221E1F"/>
              </w:rPr>
              <w:t xml:space="preserve">Singh, </w:t>
            </w:r>
            <w:proofErr w:type="spellStart"/>
            <w:r w:rsidRPr="00B03872">
              <w:rPr>
                <w:color w:val="221E1F"/>
              </w:rPr>
              <w:t>Jakeet</w:t>
            </w:r>
            <w:proofErr w:type="spellEnd"/>
            <w:r w:rsidRPr="00B03872">
              <w:rPr>
                <w:color w:val="221E1F"/>
              </w:rPr>
              <w:t xml:space="preserve">. 2015. “Religious Agency and the Limits of Intersectionality.” </w:t>
            </w:r>
            <w:proofErr w:type="spellStart"/>
            <w:r w:rsidRPr="00B03872">
              <w:rPr>
                <w:i/>
                <w:color w:val="221E1F"/>
              </w:rPr>
              <w:t>Hypatia</w:t>
            </w:r>
            <w:proofErr w:type="spellEnd"/>
            <w:r w:rsidRPr="00B03872">
              <w:rPr>
                <w:color w:val="221E1F"/>
              </w:rPr>
              <w:t xml:space="preserve"> 30(4): 657-674.</w:t>
            </w:r>
          </w:p>
          <w:p w:rsidR="00142152" w:rsidRDefault="00142152" w:rsidP="00EA6EE6">
            <w:pPr>
              <w:pStyle w:val="ListParagraph"/>
              <w:numPr>
                <w:ilvl w:val="0"/>
                <w:numId w:val="8"/>
              </w:numPr>
              <w:spacing w:after="120"/>
              <w:contextualSpacing w:val="0"/>
            </w:pPr>
            <w:r w:rsidRPr="00220BCC">
              <w:t xml:space="preserve">Crenshaw,  </w:t>
            </w:r>
            <w:proofErr w:type="spellStart"/>
            <w:r w:rsidRPr="00220BCC">
              <w:t>Kimberle</w:t>
            </w:r>
            <w:proofErr w:type="spellEnd"/>
            <w:r w:rsidRPr="00220BCC">
              <w:t xml:space="preserve">. </w:t>
            </w:r>
            <w:r w:rsidR="00597281">
              <w:t>1994 [</w:t>
            </w:r>
            <w:r w:rsidRPr="00220BCC">
              <w:t>1991</w:t>
            </w:r>
            <w:r w:rsidR="00597281">
              <w:t>]</w:t>
            </w:r>
            <w:r w:rsidRPr="00220BCC">
              <w:t>. “Mapping the Margins: Intersectionality, Identity Politics, and Violence Against Women of Color</w:t>
            </w:r>
            <w:r w:rsidR="00597281">
              <w:t xml:space="preserve">.” Excerpted in </w:t>
            </w:r>
            <w:r w:rsidRPr="00597281">
              <w:rPr>
                <w:i/>
              </w:rPr>
              <w:t>The Public Nature of Private Violence: The Discovery of Domestic Abuse</w:t>
            </w:r>
            <w:r w:rsidRPr="00597281">
              <w:t>, M</w:t>
            </w:r>
            <w:r w:rsidR="00597281">
              <w:t xml:space="preserve">.A. </w:t>
            </w:r>
            <w:proofErr w:type="spellStart"/>
            <w:r w:rsidR="00597281">
              <w:t>Fineman</w:t>
            </w:r>
            <w:proofErr w:type="spellEnd"/>
            <w:r w:rsidR="00597281">
              <w:t xml:space="preserve"> &amp; R. </w:t>
            </w:r>
            <w:proofErr w:type="spellStart"/>
            <w:r w:rsidR="00597281">
              <w:t>Mykitiuk</w:t>
            </w:r>
            <w:proofErr w:type="spellEnd"/>
            <w:r w:rsidR="00597281">
              <w:t>, eds. New York: Routledge: pp. 93-118.</w:t>
            </w:r>
          </w:p>
          <w:p w:rsidR="00142152" w:rsidRPr="00220BCC" w:rsidRDefault="00142152" w:rsidP="00EA6EE6">
            <w:pPr>
              <w:pStyle w:val="ListParagraph"/>
              <w:widowControl w:val="0"/>
              <w:numPr>
                <w:ilvl w:val="0"/>
                <w:numId w:val="8"/>
              </w:numPr>
              <w:autoSpaceDE w:val="0"/>
              <w:autoSpaceDN w:val="0"/>
              <w:adjustRightInd w:val="0"/>
              <w:spacing w:after="120"/>
            </w:pPr>
            <w:r w:rsidRPr="00220BCC">
              <w:t>Roxanne Gay, Bad Feminist (</w:t>
            </w:r>
            <w:r w:rsidR="00D27912">
              <w:t>3</w:t>
            </w:r>
            <w:r>
              <w:t xml:space="preserve"> </w:t>
            </w:r>
            <w:r w:rsidRPr="00220BCC">
              <w:t xml:space="preserve">essays </w:t>
            </w:r>
            <w:r>
              <w:t xml:space="preserve">from the section </w:t>
            </w:r>
            <w:r w:rsidRPr="00220BCC">
              <w:t>on Race and Entertainment</w:t>
            </w:r>
            <w:r>
              <w:t>, pp. 218-</w:t>
            </w:r>
            <w:r w:rsidR="00D27912">
              <w:t>232; 250-</w:t>
            </w:r>
            <w:r>
              <w:t>253</w:t>
            </w:r>
            <w:r w:rsidRPr="00220BCC">
              <w:t>):</w:t>
            </w:r>
          </w:p>
          <w:p w:rsidR="00142152" w:rsidRDefault="00142152" w:rsidP="00EA6EE6">
            <w:pPr>
              <w:pStyle w:val="ListParagraph"/>
              <w:numPr>
                <w:ilvl w:val="1"/>
                <w:numId w:val="1"/>
              </w:numPr>
            </w:pPr>
            <w:r>
              <w:t>“Surviving Django”</w:t>
            </w:r>
          </w:p>
          <w:p w:rsidR="00142152" w:rsidRDefault="00142152" w:rsidP="00EA6EE6">
            <w:pPr>
              <w:pStyle w:val="ListParagraph"/>
              <w:numPr>
                <w:ilvl w:val="1"/>
                <w:numId w:val="1"/>
              </w:numPr>
            </w:pPr>
            <w:r>
              <w:t>“Beyond the Struggle Narrative”</w:t>
            </w:r>
          </w:p>
          <w:p w:rsidR="00142152" w:rsidRDefault="00D27912" w:rsidP="00EA6EE6">
            <w:pPr>
              <w:pStyle w:val="ListParagraph"/>
              <w:numPr>
                <w:ilvl w:val="1"/>
                <w:numId w:val="1"/>
              </w:numPr>
            </w:pPr>
            <w:r w:rsidRPr="00220BCC">
              <w:t xml:space="preserve"> </w:t>
            </w:r>
            <w:r w:rsidR="00142152" w:rsidRPr="00220BCC">
              <w:t>“When Less is More”</w:t>
            </w:r>
          </w:p>
          <w:p w:rsidR="00142152" w:rsidRDefault="00142152" w:rsidP="00142152"/>
          <w:p w:rsidR="00142152" w:rsidRDefault="00142152" w:rsidP="00142152">
            <w:pPr>
              <w:widowControl w:val="0"/>
              <w:autoSpaceDE w:val="0"/>
              <w:autoSpaceDN w:val="0"/>
              <w:adjustRightInd w:val="0"/>
              <w:ind w:right="-20"/>
              <w:rPr>
                <w:rFonts w:cs="Times New Roman"/>
                <w:b/>
                <w:szCs w:val="22"/>
              </w:rPr>
            </w:pPr>
            <w:r>
              <w:rPr>
                <w:rFonts w:cs="Times New Roman"/>
                <w:b/>
                <w:szCs w:val="22"/>
                <w:u w:val="single"/>
              </w:rPr>
              <w:t>Recommended Reading</w:t>
            </w:r>
            <w:r w:rsidR="00DA718D">
              <w:rPr>
                <w:rFonts w:cs="Times New Roman"/>
                <w:b/>
                <w:szCs w:val="22"/>
                <w:u w:val="single"/>
              </w:rPr>
              <w:t>s</w:t>
            </w:r>
            <w:r>
              <w:rPr>
                <w:rFonts w:cs="Times New Roman"/>
                <w:b/>
                <w:szCs w:val="22"/>
              </w:rPr>
              <w:t>:</w:t>
            </w:r>
          </w:p>
          <w:p w:rsidR="00D27912" w:rsidRDefault="00D27912" w:rsidP="00EA6EE6">
            <w:pPr>
              <w:pStyle w:val="ListParagraph"/>
              <w:widowControl w:val="0"/>
              <w:numPr>
                <w:ilvl w:val="0"/>
                <w:numId w:val="6"/>
              </w:numPr>
              <w:autoSpaceDE w:val="0"/>
              <w:autoSpaceDN w:val="0"/>
              <w:adjustRightInd w:val="0"/>
              <w:ind w:right="-20"/>
              <w:rPr>
                <w:rFonts w:cs="Times New Roman"/>
                <w:szCs w:val="22"/>
              </w:rPr>
            </w:pPr>
            <w:r>
              <w:rPr>
                <w:rFonts w:cs="Times New Roman"/>
                <w:szCs w:val="22"/>
              </w:rPr>
              <w:t xml:space="preserve">Roxanne Gay, </w:t>
            </w:r>
            <w:r>
              <w:rPr>
                <w:rFonts w:cs="Times New Roman"/>
                <w:i/>
                <w:szCs w:val="22"/>
              </w:rPr>
              <w:t>Bad Feminist</w:t>
            </w:r>
            <w:r>
              <w:rPr>
                <w:rFonts w:cs="Times New Roman"/>
                <w:szCs w:val="22"/>
              </w:rPr>
              <w:t xml:space="preserve"> (2 essays from the section on </w:t>
            </w:r>
            <w:r>
              <w:rPr>
                <w:rFonts w:cs="Times New Roman"/>
                <w:szCs w:val="22"/>
              </w:rPr>
              <w:lastRenderedPageBreak/>
              <w:t>Race and Entertainment, pp. 233-249):</w:t>
            </w:r>
          </w:p>
          <w:p w:rsidR="00D27912" w:rsidRDefault="00D27912" w:rsidP="00EA6EE6">
            <w:pPr>
              <w:pStyle w:val="ListParagraph"/>
              <w:numPr>
                <w:ilvl w:val="1"/>
                <w:numId w:val="1"/>
              </w:numPr>
            </w:pPr>
            <w:r>
              <w:t>“The Morality of Tyler Perry”</w:t>
            </w:r>
          </w:p>
          <w:p w:rsidR="00D27912" w:rsidRPr="00D27912" w:rsidRDefault="00D27912" w:rsidP="00EA6EE6">
            <w:pPr>
              <w:pStyle w:val="ListParagraph"/>
              <w:numPr>
                <w:ilvl w:val="1"/>
                <w:numId w:val="1"/>
              </w:numPr>
              <w:spacing w:after="120"/>
              <w:contextualSpacing w:val="0"/>
            </w:pPr>
            <w:r w:rsidRPr="00220BCC">
              <w:t>“The La</w:t>
            </w:r>
            <w:r>
              <w:t>st Day of a Young Black Man”</w:t>
            </w:r>
          </w:p>
          <w:p w:rsidR="003E1B8E" w:rsidRPr="00DA718D" w:rsidRDefault="00142152" w:rsidP="00EA6EE6">
            <w:pPr>
              <w:pStyle w:val="ListParagraph"/>
              <w:widowControl w:val="0"/>
              <w:numPr>
                <w:ilvl w:val="0"/>
                <w:numId w:val="6"/>
              </w:numPr>
              <w:autoSpaceDE w:val="0"/>
              <w:autoSpaceDN w:val="0"/>
              <w:adjustRightInd w:val="0"/>
              <w:ind w:right="-20"/>
              <w:rPr>
                <w:rFonts w:cs="Times New Roman"/>
                <w:szCs w:val="22"/>
              </w:rPr>
            </w:pPr>
            <w:proofErr w:type="spellStart"/>
            <w:r w:rsidRPr="00AC5E3C">
              <w:rPr>
                <w:rFonts w:cs="Times New Roman"/>
                <w:szCs w:val="22"/>
              </w:rPr>
              <w:t>Alarcón</w:t>
            </w:r>
            <w:proofErr w:type="spellEnd"/>
            <w:r>
              <w:rPr>
                <w:rFonts w:cs="Times New Roman"/>
                <w:szCs w:val="22"/>
              </w:rPr>
              <w:t xml:space="preserve">, Norma. 1990. “The Theoretical Subject(s) of </w:t>
            </w:r>
            <w:r>
              <w:rPr>
                <w:rFonts w:cs="Times New Roman"/>
                <w:i/>
                <w:szCs w:val="22"/>
              </w:rPr>
              <w:t>This Bridge Called My Back</w:t>
            </w:r>
            <w:r>
              <w:rPr>
                <w:rFonts w:cs="Times New Roman"/>
                <w:szCs w:val="22"/>
              </w:rPr>
              <w:t xml:space="preserve"> and Anglo-American Feminism.” In </w:t>
            </w:r>
            <w:r w:rsidRPr="00AC5E3C">
              <w:rPr>
                <w:rFonts w:cs="Times New Roman"/>
                <w:i/>
                <w:szCs w:val="22"/>
              </w:rPr>
              <w:t>Making Face, Making Soul (</w:t>
            </w:r>
            <w:proofErr w:type="spellStart"/>
            <w:r w:rsidRPr="00AC5E3C">
              <w:rPr>
                <w:rFonts w:cs="Times New Roman"/>
                <w:i/>
                <w:szCs w:val="22"/>
              </w:rPr>
              <w:t>Haciendo</w:t>
            </w:r>
            <w:proofErr w:type="spellEnd"/>
            <w:r w:rsidRPr="00AC5E3C">
              <w:rPr>
                <w:rFonts w:cs="Times New Roman"/>
                <w:i/>
                <w:szCs w:val="22"/>
              </w:rPr>
              <w:t xml:space="preserve"> </w:t>
            </w:r>
            <w:proofErr w:type="spellStart"/>
            <w:r w:rsidRPr="00AC5E3C">
              <w:rPr>
                <w:rFonts w:cs="Times New Roman"/>
                <w:i/>
                <w:szCs w:val="22"/>
              </w:rPr>
              <w:t>Caras</w:t>
            </w:r>
            <w:proofErr w:type="spellEnd"/>
            <w:r w:rsidRPr="00AC5E3C">
              <w:rPr>
                <w:rFonts w:cs="Times New Roman"/>
                <w:i/>
                <w:szCs w:val="22"/>
              </w:rPr>
              <w:t>): Creative and Critical Perspectives by Feminists of Color</w:t>
            </w:r>
            <w:r w:rsidRPr="00AC5E3C">
              <w:rPr>
                <w:rFonts w:cs="Times New Roman"/>
                <w:szCs w:val="22"/>
              </w:rPr>
              <w:t xml:space="preserve">, ed. Gloria </w:t>
            </w:r>
            <w:proofErr w:type="spellStart"/>
            <w:r w:rsidRPr="00AC5E3C">
              <w:rPr>
                <w:rFonts w:cs="Times New Roman"/>
                <w:szCs w:val="22"/>
              </w:rPr>
              <w:t>Anzaldúa</w:t>
            </w:r>
            <w:proofErr w:type="spellEnd"/>
            <w:r w:rsidRPr="00AC5E3C">
              <w:rPr>
                <w:rFonts w:cs="Times New Roman"/>
                <w:szCs w:val="22"/>
              </w:rPr>
              <w:t>. San Francisco: Aunt Lute Books: pp. 3</w:t>
            </w:r>
            <w:r>
              <w:rPr>
                <w:rFonts w:cs="Times New Roman"/>
                <w:szCs w:val="22"/>
              </w:rPr>
              <w:t>56</w:t>
            </w:r>
            <w:r w:rsidRPr="00AC5E3C">
              <w:rPr>
                <w:rFonts w:cs="Times New Roman"/>
                <w:szCs w:val="22"/>
              </w:rPr>
              <w:t>-</w:t>
            </w:r>
            <w:r>
              <w:rPr>
                <w:rFonts w:cs="Times New Roman"/>
                <w:szCs w:val="22"/>
              </w:rPr>
              <w:t>36</w:t>
            </w:r>
            <w:r w:rsidRPr="00AC5E3C">
              <w:rPr>
                <w:rFonts w:cs="Times New Roman"/>
                <w:szCs w:val="22"/>
              </w:rPr>
              <w:t>9.</w:t>
            </w:r>
          </w:p>
        </w:tc>
      </w:tr>
      <w:tr w:rsidR="003E1B8E" w:rsidRPr="00220BCC">
        <w:tc>
          <w:tcPr>
            <w:tcW w:w="3168" w:type="dxa"/>
            <w:tcBorders>
              <w:bottom w:val="single" w:sz="4" w:space="0" w:color="000000" w:themeColor="text1"/>
            </w:tcBorders>
          </w:tcPr>
          <w:p w:rsidR="00C0123C" w:rsidRPr="002B38AF" w:rsidRDefault="003E1B8E" w:rsidP="003632DF">
            <w:pPr>
              <w:rPr>
                <w:b/>
                <w:u w:val="single"/>
              </w:rPr>
            </w:pPr>
            <w:r w:rsidRPr="002B38AF">
              <w:rPr>
                <w:b/>
                <w:u w:val="single"/>
              </w:rPr>
              <w:lastRenderedPageBreak/>
              <w:t>Week 9:</w:t>
            </w:r>
          </w:p>
          <w:p w:rsidR="00C0123C" w:rsidRPr="002B38AF" w:rsidRDefault="00C0123C" w:rsidP="003632DF">
            <w:r w:rsidRPr="002B38AF">
              <w:t>Monday 15 May</w:t>
            </w:r>
          </w:p>
          <w:p w:rsidR="00C0123C" w:rsidRPr="002B38AF" w:rsidRDefault="00C0123C" w:rsidP="003632DF">
            <w:r w:rsidRPr="002B38AF">
              <w:t>&amp;</w:t>
            </w:r>
          </w:p>
          <w:p w:rsidR="00C0123C" w:rsidRPr="002B38AF" w:rsidRDefault="00C0123C" w:rsidP="003632DF">
            <w:r w:rsidRPr="002B38AF">
              <w:t>Tuesday 16 May</w:t>
            </w:r>
          </w:p>
          <w:p w:rsidR="00C9104B" w:rsidRPr="002B38AF" w:rsidRDefault="00C9104B" w:rsidP="003632DF">
            <w:pPr>
              <w:rPr>
                <w:b/>
                <w:color w:val="FF0000"/>
              </w:rPr>
            </w:pPr>
          </w:p>
          <w:p w:rsidR="00C9104B" w:rsidRPr="002B38AF" w:rsidRDefault="00C9104B" w:rsidP="003632DF">
            <w:pPr>
              <w:rPr>
                <w:b/>
              </w:rPr>
            </w:pPr>
            <w:r w:rsidRPr="002B38AF">
              <w:rPr>
                <w:b/>
              </w:rPr>
              <w:t>Gender, Agency, and Power in Religious Theory and Practice</w:t>
            </w:r>
          </w:p>
          <w:p w:rsidR="00794470" w:rsidRPr="002B38AF" w:rsidRDefault="00794470" w:rsidP="003632DF">
            <w:pPr>
              <w:rPr>
                <w:b/>
                <w:color w:val="FF0000"/>
              </w:rPr>
            </w:pPr>
          </w:p>
          <w:p w:rsidR="00794470" w:rsidRPr="002B38AF" w:rsidRDefault="00794470" w:rsidP="00794470">
            <w:pPr>
              <w:rPr>
                <w:color w:val="FF0000"/>
              </w:rPr>
            </w:pPr>
            <w:r w:rsidRPr="002B38AF">
              <w:rPr>
                <w:b/>
                <w:color w:val="FF0000"/>
              </w:rPr>
              <w:t>Guest Lecturer: Melissa Inouye, History and Asian Studies</w:t>
            </w:r>
          </w:p>
          <w:p w:rsidR="003E1B8E" w:rsidRPr="002B38AF" w:rsidRDefault="003E1B8E" w:rsidP="003632DF">
            <w:pPr>
              <w:rPr>
                <w:b/>
                <w:color w:val="FF0000"/>
              </w:rPr>
            </w:pPr>
          </w:p>
        </w:tc>
        <w:tc>
          <w:tcPr>
            <w:tcW w:w="6154" w:type="dxa"/>
            <w:tcBorders>
              <w:bottom w:val="single" w:sz="4" w:space="0" w:color="000000" w:themeColor="text1"/>
            </w:tcBorders>
          </w:tcPr>
          <w:p w:rsidR="002B38AF" w:rsidRPr="002B38AF" w:rsidRDefault="00F77F2A" w:rsidP="00EA6EE6">
            <w:pPr>
              <w:pStyle w:val="ListParagraph"/>
              <w:numPr>
                <w:ilvl w:val="0"/>
                <w:numId w:val="6"/>
              </w:numPr>
              <w:spacing w:after="120"/>
              <w:contextualSpacing w:val="0"/>
              <w:rPr>
                <w:b/>
                <w:u w:val="single"/>
              </w:rPr>
            </w:pPr>
            <w:proofErr w:type="spellStart"/>
            <w:r w:rsidRPr="002B38AF">
              <w:t>Brekus</w:t>
            </w:r>
            <w:proofErr w:type="spellEnd"/>
            <w:r w:rsidRPr="002B38AF">
              <w:t xml:space="preserve">, Catherine. 2011. “Tanner Lecture: Mormon Women and the Problem of Historical Agency.” </w:t>
            </w:r>
            <w:r w:rsidRPr="002B38AF">
              <w:rPr>
                <w:i/>
              </w:rPr>
              <w:t>Journal of Mormon History</w:t>
            </w:r>
            <w:r w:rsidRPr="002B38AF">
              <w:t xml:space="preserve"> 37(2): 59-87.</w:t>
            </w:r>
          </w:p>
          <w:p w:rsidR="00F77F2A" w:rsidRPr="002B38AF" w:rsidRDefault="00F77F2A" w:rsidP="00EA6EE6">
            <w:pPr>
              <w:pStyle w:val="ListParagraph"/>
              <w:numPr>
                <w:ilvl w:val="0"/>
                <w:numId w:val="6"/>
              </w:numPr>
              <w:spacing w:after="120"/>
              <w:rPr>
                <w:b/>
                <w:u w:val="single"/>
              </w:rPr>
            </w:pPr>
            <w:r w:rsidRPr="002B38AF">
              <w:t xml:space="preserve">“Lights and Shades” (excerpts). </w:t>
            </w:r>
            <w:r w:rsidRPr="002B38AF">
              <w:rPr>
                <w:i/>
              </w:rPr>
              <w:t>The Young Woman’s Journal</w:t>
            </w:r>
            <w:r w:rsidRPr="002B38AF">
              <w:t>.</w:t>
            </w:r>
          </w:p>
          <w:p w:rsidR="00F77F2A" w:rsidRPr="002B38AF" w:rsidRDefault="00F77F2A" w:rsidP="00F77F2A"/>
          <w:p w:rsidR="003E1B8E" w:rsidRPr="002B38AF" w:rsidRDefault="003E1B8E" w:rsidP="002B38AF"/>
        </w:tc>
      </w:tr>
      <w:tr w:rsidR="003E1B8E" w:rsidRPr="00220BCC">
        <w:tc>
          <w:tcPr>
            <w:tcW w:w="3168" w:type="dxa"/>
            <w:tcBorders>
              <w:bottom w:val="single" w:sz="4" w:space="0" w:color="000000" w:themeColor="text1"/>
            </w:tcBorders>
          </w:tcPr>
          <w:p w:rsidR="003E1B8E" w:rsidRPr="00220BCC" w:rsidRDefault="003E1B8E">
            <w:pPr>
              <w:rPr>
                <w:b/>
                <w:u w:val="single"/>
              </w:rPr>
            </w:pPr>
            <w:r w:rsidRPr="00220BCC">
              <w:rPr>
                <w:b/>
                <w:u w:val="single"/>
              </w:rPr>
              <w:t>Week 10:</w:t>
            </w:r>
          </w:p>
          <w:p w:rsidR="006565FE" w:rsidRDefault="006565FE" w:rsidP="003632DF">
            <w:r>
              <w:t>Monday 22 May</w:t>
            </w:r>
          </w:p>
          <w:p w:rsidR="006565FE" w:rsidRDefault="006565FE" w:rsidP="003632DF">
            <w:r>
              <w:t>&amp;</w:t>
            </w:r>
          </w:p>
          <w:p w:rsidR="00C9104B" w:rsidRDefault="006565FE" w:rsidP="003632DF">
            <w:r>
              <w:t>Tuesday 23 May</w:t>
            </w:r>
          </w:p>
          <w:p w:rsidR="00C9104B" w:rsidRDefault="00C9104B" w:rsidP="003632DF"/>
          <w:p w:rsidR="00C9104B" w:rsidRPr="00794470" w:rsidRDefault="00C9104B" w:rsidP="003632DF">
            <w:pPr>
              <w:rPr>
                <w:b/>
              </w:rPr>
            </w:pPr>
            <w:r w:rsidRPr="00794470">
              <w:rPr>
                <w:b/>
              </w:rPr>
              <w:t>Intersectionality, Agency, and Veiling in the Ancient Mediterranean World</w:t>
            </w:r>
          </w:p>
          <w:p w:rsidR="00794470" w:rsidRDefault="00794470" w:rsidP="003632DF"/>
          <w:p w:rsidR="00794470" w:rsidRPr="00220BCC" w:rsidRDefault="00794470" w:rsidP="00794470">
            <w:pPr>
              <w:rPr>
                <w:b/>
                <w:color w:val="FF0000"/>
              </w:rPr>
            </w:pPr>
            <w:r w:rsidRPr="00220BCC">
              <w:rPr>
                <w:b/>
                <w:color w:val="FF0000"/>
              </w:rPr>
              <w:t xml:space="preserve">Guest Lecturer: </w:t>
            </w:r>
          </w:p>
          <w:p w:rsidR="00794470" w:rsidRPr="00220BCC" w:rsidRDefault="00794470" w:rsidP="00794470">
            <w:pPr>
              <w:rPr>
                <w:b/>
                <w:color w:val="FF0000"/>
              </w:rPr>
            </w:pPr>
            <w:r w:rsidRPr="00220BCC">
              <w:rPr>
                <w:b/>
                <w:color w:val="FF0000"/>
              </w:rPr>
              <w:t>Dr. Maxine Lewis, Classics and Ancient History</w:t>
            </w:r>
          </w:p>
          <w:p w:rsidR="00516040" w:rsidRDefault="00516040" w:rsidP="003632DF"/>
          <w:p w:rsidR="00516040" w:rsidRDefault="00516040" w:rsidP="003632DF">
            <w:r>
              <w:t>Reminder:</w:t>
            </w:r>
          </w:p>
          <w:p w:rsidR="00516040" w:rsidRPr="00516040" w:rsidRDefault="00516040" w:rsidP="003632DF">
            <w:pPr>
              <w:rPr>
                <w:b/>
                <w:color w:val="FF0000"/>
              </w:rPr>
            </w:pPr>
            <w:r w:rsidRPr="00516040">
              <w:rPr>
                <w:b/>
                <w:color w:val="FF0000"/>
              </w:rPr>
              <w:t xml:space="preserve">“Mix Tape” Assignment due this week: Thursday 25 May by 4.00 p.m. (to ARTS 1 and </w:t>
            </w:r>
            <w:proofErr w:type="spellStart"/>
            <w:r w:rsidRPr="00516040">
              <w:rPr>
                <w:b/>
                <w:color w:val="FF0000"/>
              </w:rPr>
              <w:t>TurnItIn</w:t>
            </w:r>
            <w:proofErr w:type="spellEnd"/>
            <w:r w:rsidRPr="00516040">
              <w:rPr>
                <w:b/>
                <w:color w:val="FF0000"/>
              </w:rPr>
              <w:t>)</w:t>
            </w:r>
          </w:p>
          <w:p w:rsidR="003E1B8E" w:rsidRPr="00220BCC" w:rsidRDefault="003E1B8E" w:rsidP="003632DF"/>
        </w:tc>
        <w:tc>
          <w:tcPr>
            <w:tcW w:w="6154" w:type="dxa"/>
            <w:tcBorders>
              <w:bottom w:val="single" w:sz="4" w:space="0" w:color="000000" w:themeColor="text1"/>
            </w:tcBorders>
          </w:tcPr>
          <w:p w:rsidR="00D15C75" w:rsidRDefault="00D15C75" w:rsidP="00EA6EE6">
            <w:pPr>
              <w:pStyle w:val="ListParagraph"/>
              <w:numPr>
                <w:ilvl w:val="0"/>
                <w:numId w:val="2"/>
              </w:numPr>
              <w:spacing w:after="120"/>
              <w:contextualSpacing w:val="0"/>
            </w:pPr>
            <w:r w:rsidRPr="00D15C75">
              <w:t>​</w:t>
            </w:r>
            <w:proofErr w:type="spellStart"/>
            <w:r w:rsidRPr="00D15C75">
              <w:t>Lle</w:t>
            </w:r>
            <w:proofErr w:type="spellEnd"/>
            <w:r w:rsidRPr="00D15C75">
              <w:t>​​</w:t>
            </w:r>
            <w:proofErr w:type="spellStart"/>
            <w:r w:rsidRPr="00D15C75">
              <w:t>wellyn</w:t>
            </w:r>
            <w:proofErr w:type="spellEnd"/>
            <w:r w:rsidRPr="00D15C75">
              <w:t>-Jones, Lloyd. 2003. </w:t>
            </w:r>
            <w:r w:rsidRPr="00D15C75">
              <w:rPr>
                <w:i/>
                <w:iCs/>
              </w:rPr>
              <w:t>Aphrodite's Tortoise: The Veiled Woman of Ancient Greece.</w:t>
            </w:r>
            <w:r w:rsidRPr="00D15C75">
              <w:rPr>
                <w:i/>
              </w:rPr>
              <w:t> The Classical Press of Wales: Swansea</w:t>
            </w:r>
            <w:r w:rsidRPr="00D15C75">
              <w:t>. (pp</w:t>
            </w:r>
            <w:r>
              <w:t xml:space="preserve">. </w:t>
            </w:r>
            <w:r w:rsidRPr="00D15C75">
              <w:t xml:space="preserve">1-21 and </w:t>
            </w:r>
            <w:r w:rsidR="00043016">
              <w:t>1</w:t>
            </w:r>
            <w:r w:rsidRPr="00D15C75">
              <w:t>55-</w:t>
            </w:r>
            <w:r w:rsidR="00043016">
              <w:t>1</w:t>
            </w:r>
            <w:r w:rsidRPr="00D15C75">
              <w:t>65)</w:t>
            </w:r>
          </w:p>
          <w:p w:rsidR="00D15C75" w:rsidRDefault="00D15C75" w:rsidP="00EA6EE6">
            <w:pPr>
              <w:pStyle w:val="ListParagraph"/>
              <w:numPr>
                <w:ilvl w:val="0"/>
                <w:numId w:val="2"/>
              </w:numPr>
              <w:spacing w:after="120"/>
              <w:contextualSpacing w:val="0"/>
            </w:pPr>
            <w:proofErr w:type="spellStart"/>
            <w:r w:rsidRPr="00D15C75">
              <w:t>Clela</w:t>
            </w:r>
            <w:proofErr w:type="spellEnd"/>
            <w:r w:rsidRPr="00D15C75">
              <w:t>​</w:t>
            </w:r>
            <w:proofErr w:type="spellStart"/>
            <w:r w:rsidRPr="00D15C75">
              <w:t>nd</w:t>
            </w:r>
            <w:proofErr w:type="spellEnd"/>
            <w:r w:rsidRPr="00D15C75">
              <w:t>, Liza; Davies, Glenys; </w:t>
            </w:r>
            <w:proofErr w:type="spellStart"/>
            <w:r w:rsidRPr="00D15C75">
              <w:t>Lle</w:t>
            </w:r>
            <w:proofErr w:type="spellEnd"/>
            <w:r w:rsidRPr="00D15C75">
              <w:t>​​</w:t>
            </w:r>
            <w:proofErr w:type="spellStart"/>
            <w:r w:rsidRPr="00D15C75">
              <w:t>wellyn</w:t>
            </w:r>
            <w:proofErr w:type="spellEnd"/>
            <w:r w:rsidRPr="00D15C75">
              <w:t>-Jones, Lloyd. 2007. </w:t>
            </w:r>
            <w:r w:rsidRPr="00D15C75">
              <w:rPr>
                <w:i/>
                <w:iCs/>
              </w:rPr>
              <w:t>Greek and Roman Dress from A to Z</w:t>
            </w:r>
            <w:r w:rsidRPr="00D15C75">
              <w:t>. Routledge: Oxford and New York. (pp</w:t>
            </w:r>
            <w:r>
              <w:t xml:space="preserve">. </w:t>
            </w:r>
            <w:r w:rsidRPr="00D15C75">
              <w:t>205-206)</w:t>
            </w:r>
          </w:p>
          <w:p w:rsidR="00D15C75" w:rsidRDefault="00D15C75" w:rsidP="00EA6EE6">
            <w:pPr>
              <w:pStyle w:val="ListParagraph"/>
              <w:numPr>
                <w:ilvl w:val="0"/>
                <w:numId w:val="2"/>
              </w:numPr>
              <w:spacing w:after="120"/>
              <w:contextualSpacing w:val="0"/>
            </w:pPr>
            <w:r w:rsidRPr="00D15C75">
              <w:t>Blundell, Sue. 2002. 'Clutching at Clothes' in </w:t>
            </w:r>
            <w:r w:rsidRPr="00D15C75">
              <w:rPr>
                <w:i/>
                <w:iCs/>
              </w:rPr>
              <w:t>Women's Dress in the Ancient Greek World</w:t>
            </w:r>
            <w:r w:rsidRPr="00D15C75">
              <w:t>. Ed. Lloyd Llewellyn-Jones. Duckworth and the Classical Press of Wales: London (selection from chapter, pp</w:t>
            </w:r>
            <w:r>
              <w:t xml:space="preserve">. </w:t>
            </w:r>
            <w:r w:rsidRPr="00D15C75">
              <w:t>158-161).</w:t>
            </w:r>
          </w:p>
          <w:p w:rsidR="003E1B8E" w:rsidRPr="00D15C75" w:rsidRDefault="00D15C75" w:rsidP="00EA6EE6">
            <w:pPr>
              <w:pStyle w:val="ListParagraph"/>
              <w:numPr>
                <w:ilvl w:val="0"/>
                <w:numId w:val="2"/>
              </w:numPr>
              <w:spacing w:after="120"/>
              <w:contextualSpacing w:val="0"/>
            </w:pPr>
            <w:r w:rsidRPr="00D15C75">
              <w:t>Cairns, Douglas. 2002. 'The Meaning of the Veil in Ancient Greek Culture' in </w:t>
            </w:r>
            <w:r w:rsidRPr="00D15C75">
              <w:rPr>
                <w:i/>
                <w:iCs/>
              </w:rPr>
              <w:t>Women's Dress in the Ancient Greek World</w:t>
            </w:r>
            <w:r w:rsidRPr="00D15C75">
              <w:t>. Ed. Lloyd Llewellyn-Jones. Duckworth and the Classical Press of Wales: London (pp73-93).</w:t>
            </w:r>
          </w:p>
        </w:tc>
      </w:tr>
      <w:tr w:rsidR="003E1B8E" w:rsidRPr="00220BCC">
        <w:tc>
          <w:tcPr>
            <w:tcW w:w="3168" w:type="dxa"/>
            <w:tcBorders>
              <w:bottom w:val="single" w:sz="4" w:space="0" w:color="000000" w:themeColor="text1"/>
            </w:tcBorders>
          </w:tcPr>
          <w:p w:rsidR="003E1B8E" w:rsidRPr="00220BCC" w:rsidRDefault="003E1B8E">
            <w:r w:rsidRPr="00220BCC">
              <w:rPr>
                <w:b/>
                <w:u w:val="single"/>
              </w:rPr>
              <w:t>Week 11:</w:t>
            </w:r>
          </w:p>
          <w:p w:rsidR="006565FE" w:rsidRDefault="006565FE" w:rsidP="003632DF">
            <w:r>
              <w:t>Monday 29 May</w:t>
            </w:r>
          </w:p>
          <w:p w:rsidR="006565FE" w:rsidRDefault="006565FE" w:rsidP="003632DF">
            <w:r>
              <w:t>&amp;</w:t>
            </w:r>
          </w:p>
          <w:p w:rsidR="00C9104B" w:rsidRDefault="006565FE" w:rsidP="003632DF">
            <w:r>
              <w:t>Tuesday 30 May</w:t>
            </w:r>
          </w:p>
          <w:p w:rsidR="00C9104B" w:rsidRDefault="00C9104B" w:rsidP="003632DF"/>
          <w:p w:rsidR="00C9104B" w:rsidRPr="00794470" w:rsidRDefault="00CF102D" w:rsidP="003632DF">
            <w:pPr>
              <w:rPr>
                <w:b/>
              </w:rPr>
            </w:pPr>
            <w:r w:rsidRPr="00794470">
              <w:rPr>
                <w:b/>
              </w:rPr>
              <w:t>Popular Culture</w:t>
            </w:r>
            <w:r w:rsidR="00C9104B" w:rsidRPr="00794470">
              <w:rPr>
                <w:b/>
              </w:rPr>
              <w:t xml:space="preserve"> &amp; Celebrity Feminism</w:t>
            </w:r>
          </w:p>
          <w:p w:rsidR="00516040" w:rsidRDefault="00516040" w:rsidP="003632DF"/>
          <w:p w:rsidR="003E1B8E" w:rsidRPr="006565FE" w:rsidRDefault="003E1B8E" w:rsidP="003632DF"/>
        </w:tc>
        <w:tc>
          <w:tcPr>
            <w:tcW w:w="6154" w:type="dxa"/>
            <w:tcBorders>
              <w:bottom w:val="single" w:sz="4" w:space="0" w:color="000000" w:themeColor="text1"/>
            </w:tcBorders>
          </w:tcPr>
          <w:p w:rsidR="00A456B4" w:rsidRPr="00220BCC" w:rsidRDefault="00A456B4" w:rsidP="00EA6EE6">
            <w:pPr>
              <w:pStyle w:val="ListParagraph"/>
              <w:numPr>
                <w:ilvl w:val="0"/>
                <w:numId w:val="2"/>
              </w:numPr>
              <w:spacing w:after="120"/>
              <w:contextualSpacing w:val="0"/>
            </w:pPr>
            <w:r w:rsidRPr="00220BCC">
              <w:t xml:space="preserve">Juliet Williams. 2014. “’Same DNA, but Born This Way’: Lady Gaga and the Possibilities of </w:t>
            </w:r>
            <w:proofErr w:type="spellStart"/>
            <w:r w:rsidRPr="00220BCC">
              <w:t>Postessentialist</w:t>
            </w:r>
            <w:proofErr w:type="spellEnd"/>
            <w:r w:rsidRPr="00220BCC">
              <w:t xml:space="preserve"> Feminisms.” </w:t>
            </w:r>
            <w:r w:rsidRPr="00220BCC">
              <w:rPr>
                <w:i/>
              </w:rPr>
              <w:t>Journal of Popular Music Studies</w:t>
            </w:r>
            <w:r w:rsidRPr="00220BCC">
              <w:t xml:space="preserve"> 26(1): 28-46.</w:t>
            </w:r>
          </w:p>
          <w:p w:rsidR="00A456B4" w:rsidRPr="00220BCC" w:rsidRDefault="00A456B4" w:rsidP="00EA6EE6">
            <w:pPr>
              <w:pStyle w:val="ListParagraph"/>
              <w:numPr>
                <w:ilvl w:val="0"/>
                <w:numId w:val="2"/>
              </w:numPr>
              <w:spacing w:after="120"/>
              <w:contextualSpacing w:val="0"/>
            </w:pPr>
            <w:r w:rsidRPr="00220BCC">
              <w:t xml:space="preserve">Brady, Anita. 2016. “Taking Time Between G-String Changes to Educate Ourselves: Sinead O’Conner, Miley Cyrus, and Celebrity Feminism.” </w:t>
            </w:r>
            <w:r w:rsidRPr="00220BCC">
              <w:rPr>
                <w:i/>
              </w:rPr>
              <w:t>Feminist Media Studies</w:t>
            </w:r>
            <w:r w:rsidRPr="00220BCC">
              <w:t xml:space="preserve">. </w:t>
            </w:r>
            <w:proofErr w:type="spellStart"/>
            <w:r w:rsidRPr="00220BCC">
              <w:t>DOI</w:t>
            </w:r>
            <w:proofErr w:type="spellEnd"/>
            <w:r w:rsidRPr="00220BCC">
              <w:t xml:space="preserve">: </w:t>
            </w:r>
            <w:hyperlink r:id="rId16" w:history="1">
              <w:r w:rsidRPr="00674A29">
                <w:rPr>
                  <w:rStyle w:val="Hyperlink"/>
                </w:rPr>
                <w:t>10.1080/14680777.2015.1137960</w:t>
              </w:r>
            </w:hyperlink>
            <w:r w:rsidRPr="00220BCC">
              <w:t xml:space="preserve"> </w:t>
            </w:r>
          </w:p>
          <w:p w:rsidR="00D15C75" w:rsidRDefault="00A456B4" w:rsidP="00EA6EE6">
            <w:pPr>
              <w:pStyle w:val="ListParagraph"/>
              <w:numPr>
                <w:ilvl w:val="0"/>
                <w:numId w:val="2"/>
              </w:numPr>
              <w:spacing w:after="120"/>
              <w:contextualSpacing w:val="0"/>
            </w:pPr>
            <w:proofErr w:type="spellStart"/>
            <w:r w:rsidRPr="00220BCC">
              <w:t>Weidhase</w:t>
            </w:r>
            <w:proofErr w:type="spellEnd"/>
            <w:r w:rsidRPr="00220BCC">
              <w:t xml:space="preserve">, Nathalie . 2015. “’Beyoncé Feminism’ and the Contestation of the Black Feminist Body.” </w:t>
            </w:r>
            <w:r w:rsidRPr="00220BCC">
              <w:rPr>
                <w:i/>
              </w:rPr>
              <w:t xml:space="preserve">Celebrity </w:t>
            </w:r>
            <w:r w:rsidRPr="00220BCC">
              <w:rPr>
                <w:i/>
              </w:rPr>
              <w:lastRenderedPageBreak/>
              <w:t>Studies</w:t>
            </w:r>
            <w:r w:rsidRPr="00220BCC">
              <w:t xml:space="preserve"> 6(1): 128-131. </w:t>
            </w:r>
          </w:p>
          <w:p w:rsidR="00A456B4" w:rsidRPr="00DA718D" w:rsidRDefault="00A456B4" w:rsidP="00EA6EE6">
            <w:pPr>
              <w:pStyle w:val="ListParagraph"/>
              <w:numPr>
                <w:ilvl w:val="0"/>
                <w:numId w:val="2"/>
              </w:numPr>
              <w:rPr>
                <w:color w:val="221E1F"/>
              </w:rPr>
            </w:pPr>
            <w:r w:rsidRPr="00DA718D">
              <w:rPr>
                <w:color w:val="221E1F"/>
              </w:rPr>
              <w:t xml:space="preserve">Roxanne Gay, </w:t>
            </w:r>
            <w:r w:rsidRPr="00DA718D">
              <w:rPr>
                <w:i/>
                <w:color w:val="221E1F"/>
              </w:rPr>
              <w:t>Bad Feminist</w:t>
            </w:r>
            <w:r w:rsidRPr="00DA718D">
              <w:rPr>
                <w:color w:val="221E1F"/>
              </w:rPr>
              <w:t xml:space="preserve"> (selected essays from </w:t>
            </w:r>
            <w:r w:rsidR="00D27912" w:rsidRPr="00DA718D">
              <w:rPr>
                <w:color w:val="221E1F"/>
              </w:rPr>
              <w:t>the “G</w:t>
            </w:r>
            <w:r w:rsidRPr="00DA718D">
              <w:rPr>
                <w:color w:val="221E1F"/>
              </w:rPr>
              <w:t xml:space="preserve">ender and </w:t>
            </w:r>
            <w:r w:rsidR="00D27912" w:rsidRPr="00DA718D">
              <w:rPr>
                <w:color w:val="221E1F"/>
              </w:rPr>
              <w:t>S</w:t>
            </w:r>
            <w:r w:rsidRPr="00DA718D">
              <w:rPr>
                <w:color w:val="221E1F"/>
              </w:rPr>
              <w:t>exuality</w:t>
            </w:r>
            <w:r w:rsidR="00D27912" w:rsidRPr="00DA718D">
              <w:rPr>
                <w:color w:val="221E1F"/>
              </w:rPr>
              <w:t>”</w:t>
            </w:r>
            <w:r w:rsidRPr="00DA718D">
              <w:rPr>
                <w:color w:val="221E1F"/>
              </w:rPr>
              <w:t xml:space="preserve"> and </w:t>
            </w:r>
            <w:r w:rsidR="00D27912" w:rsidRPr="00DA718D">
              <w:rPr>
                <w:color w:val="221E1F"/>
              </w:rPr>
              <w:t>“Politics, Race, and G</w:t>
            </w:r>
            <w:r w:rsidRPr="00DA718D">
              <w:rPr>
                <w:color w:val="221E1F"/>
              </w:rPr>
              <w:t>ender</w:t>
            </w:r>
            <w:r w:rsidR="00D27912" w:rsidRPr="00DA718D">
              <w:rPr>
                <w:color w:val="221E1F"/>
              </w:rPr>
              <w:t>”</w:t>
            </w:r>
            <w:r w:rsidRPr="00DA718D">
              <w:rPr>
                <w:color w:val="221E1F"/>
              </w:rPr>
              <w:t xml:space="preserve"> sections):</w:t>
            </w:r>
          </w:p>
          <w:p w:rsidR="00A456B4" w:rsidRPr="00A456B4" w:rsidRDefault="00A456B4" w:rsidP="00EA6EE6">
            <w:pPr>
              <w:pStyle w:val="ListParagraph"/>
              <w:numPr>
                <w:ilvl w:val="1"/>
                <w:numId w:val="2"/>
              </w:numPr>
              <w:rPr>
                <w:color w:val="221E1F"/>
              </w:rPr>
            </w:pPr>
            <w:r w:rsidRPr="00A456B4">
              <w:rPr>
                <w:color w:val="221E1F"/>
              </w:rPr>
              <w:t>“What We Hunger For”</w:t>
            </w:r>
          </w:p>
          <w:p w:rsidR="00A456B4" w:rsidRPr="00A456B4" w:rsidRDefault="00A456B4" w:rsidP="00EA6EE6">
            <w:pPr>
              <w:pStyle w:val="ListParagraph"/>
              <w:numPr>
                <w:ilvl w:val="1"/>
                <w:numId w:val="2"/>
              </w:numPr>
              <w:rPr>
                <w:color w:val="221E1F"/>
              </w:rPr>
            </w:pPr>
            <w:r w:rsidRPr="00A456B4">
              <w:rPr>
                <w:color w:val="221E1F"/>
              </w:rPr>
              <w:t xml:space="preserve">“Some Jokes are Funnier than Others” </w:t>
            </w:r>
          </w:p>
          <w:p w:rsidR="00A456B4" w:rsidRPr="00A456B4" w:rsidRDefault="00A456B4" w:rsidP="00EA6EE6">
            <w:pPr>
              <w:pStyle w:val="ListParagraph"/>
              <w:numPr>
                <w:ilvl w:val="1"/>
                <w:numId w:val="2"/>
              </w:numPr>
              <w:rPr>
                <w:color w:val="221E1F"/>
              </w:rPr>
            </w:pPr>
            <w:r w:rsidRPr="00A456B4">
              <w:rPr>
                <w:color w:val="221E1F"/>
              </w:rPr>
              <w:t>“Dear Young Ladies Who Love Chris Brown”</w:t>
            </w:r>
          </w:p>
          <w:p w:rsidR="00A456B4" w:rsidRPr="00A456B4" w:rsidRDefault="00A456B4" w:rsidP="00EA6EE6">
            <w:pPr>
              <w:pStyle w:val="ListParagraph"/>
              <w:numPr>
                <w:ilvl w:val="1"/>
                <w:numId w:val="2"/>
              </w:numPr>
              <w:rPr>
                <w:color w:val="221E1F"/>
              </w:rPr>
            </w:pPr>
            <w:r w:rsidRPr="00A456B4">
              <w:rPr>
                <w:color w:val="221E1F"/>
              </w:rPr>
              <w:t>“Blurred Lines, Indeed”</w:t>
            </w:r>
          </w:p>
          <w:p w:rsidR="00A456B4" w:rsidRPr="00A456B4" w:rsidRDefault="00A456B4" w:rsidP="00EA6EE6">
            <w:pPr>
              <w:pStyle w:val="ListParagraph"/>
              <w:numPr>
                <w:ilvl w:val="1"/>
                <w:numId w:val="2"/>
              </w:numPr>
              <w:rPr>
                <w:color w:val="221E1F"/>
              </w:rPr>
            </w:pPr>
            <w:r w:rsidRPr="00A456B4">
              <w:rPr>
                <w:color w:val="221E1F"/>
              </w:rPr>
              <w:t>“The Trouble with Prince Charming”</w:t>
            </w:r>
          </w:p>
          <w:p w:rsidR="00A456B4" w:rsidRPr="00A456B4" w:rsidRDefault="00A456B4" w:rsidP="00EA6EE6">
            <w:pPr>
              <w:pStyle w:val="ListParagraph"/>
              <w:numPr>
                <w:ilvl w:val="1"/>
                <w:numId w:val="2"/>
              </w:numPr>
              <w:rPr>
                <w:color w:val="221E1F"/>
              </w:rPr>
            </w:pPr>
            <w:r w:rsidRPr="00A456B4">
              <w:rPr>
                <w:color w:val="221E1F"/>
              </w:rPr>
              <w:t>“The Alienable Rights of Women”</w:t>
            </w:r>
          </w:p>
          <w:p w:rsidR="00A456B4" w:rsidRPr="00A456B4" w:rsidRDefault="00A456B4" w:rsidP="00EA6EE6">
            <w:pPr>
              <w:pStyle w:val="ListParagraph"/>
              <w:numPr>
                <w:ilvl w:val="1"/>
                <w:numId w:val="2"/>
              </w:numPr>
              <w:rPr>
                <w:color w:val="221E1F"/>
              </w:rPr>
            </w:pPr>
            <w:r w:rsidRPr="00A456B4">
              <w:rPr>
                <w:color w:val="221E1F"/>
              </w:rPr>
              <w:t>“Bad Feminist: Take One”</w:t>
            </w:r>
          </w:p>
          <w:p w:rsidR="00D15C75" w:rsidRPr="00D15C75" w:rsidRDefault="00A456B4" w:rsidP="00EA6EE6">
            <w:pPr>
              <w:pStyle w:val="ListParagraph"/>
              <w:numPr>
                <w:ilvl w:val="1"/>
                <w:numId w:val="2"/>
              </w:numPr>
            </w:pPr>
            <w:r w:rsidRPr="00A456B4">
              <w:rPr>
                <w:color w:val="221E1F"/>
              </w:rPr>
              <w:t>“Bad Feminist: Take Two”</w:t>
            </w:r>
          </w:p>
          <w:p w:rsidR="00000AB1" w:rsidRDefault="00000AB1" w:rsidP="00D15C75">
            <w:pPr>
              <w:rPr>
                <w:u w:val="single"/>
              </w:rPr>
            </w:pPr>
          </w:p>
          <w:p w:rsidR="00D15C75" w:rsidRDefault="00D15C75" w:rsidP="00D15C75">
            <w:pPr>
              <w:rPr>
                <w:u w:val="single"/>
              </w:rPr>
            </w:pPr>
            <w:r>
              <w:rPr>
                <w:u w:val="single"/>
              </w:rPr>
              <w:t>Recommended Reading:</w:t>
            </w:r>
          </w:p>
          <w:p w:rsidR="00D15C75" w:rsidRDefault="00D15C75" w:rsidP="00EA6EE6">
            <w:pPr>
              <w:pStyle w:val="ListParagraph"/>
              <w:numPr>
                <w:ilvl w:val="0"/>
                <w:numId w:val="2"/>
              </w:numPr>
            </w:pPr>
            <w:proofErr w:type="spellStart"/>
            <w:r>
              <w:t>Prügl</w:t>
            </w:r>
            <w:proofErr w:type="spellEnd"/>
            <w:r>
              <w:t>, Elisabeth. 2015. “</w:t>
            </w:r>
            <w:proofErr w:type="spellStart"/>
            <w:r>
              <w:t>Neoliberalising</w:t>
            </w:r>
            <w:proofErr w:type="spellEnd"/>
            <w:r>
              <w:t xml:space="preserve"> Feminism.” </w:t>
            </w:r>
            <w:r w:rsidRPr="003E5A65">
              <w:rPr>
                <w:i/>
              </w:rPr>
              <w:t>New Political Economy</w:t>
            </w:r>
            <w:r>
              <w:t xml:space="preserve"> 20(4): 614-631.</w:t>
            </w:r>
          </w:p>
          <w:p w:rsidR="003E1B8E" w:rsidRPr="00D15C75" w:rsidRDefault="003E1B8E" w:rsidP="00D15C75">
            <w:pPr>
              <w:rPr>
                <w:u w:val="single"/>
              </w:rPr>
            </w:pPr>
          </w:p>
        </w:tc>
      </w:tr>
      <w:tr w:rsidR="003E1B8E" w:rsidRPr="00220BCC">
        <w:tc>
          <w:tcPr>
            <w:tcW w:w="3168" w:type="dxa"/>
            <w:tcBorders>
              <w:bottom w:val="single" w:sz="4" w:space="0" w:color="000000" w:themeColor="text1"/>
            </w:tcBorders>
          </w:tcPr>
          <w:p w:rsidR="003E1B8E" w:rsidRPr="00220BCC" w:rsidRDefault="003E1B8E">
            <w:pPr>
              <w:rPr>
                <w:b/>
              </w:rPr>
            </w:pPr>
            <w:r w:rsidRPr="00220BCC">
              <w:rPr>
                <w:b/>
                <w:u w:val="single"/>
              </w:rPr>
              <w:lastRenderedPageBreak/>
              <w:t>Week 12:</w:t>
            </w:r>
          </w:p>
          <w:p w:rsidR="00C9104B" w:rsidRDefault="006565FE">
            <w:r>
              <w:t>Tuesday 6 June</w:t>
            </w:r>
          </w:p>
          <w:p w:rsidR="00C9104B" w:rsidRDefault="00C9104B"/>
          <w:p w:rsidR="006565FE" w:rsidRDefault="00CF102D">
            <w:r>
              <w:t>Course Review &amp; Wrap-Up</w:t>
            </w:r>
          </w:p>
          <w:p w:rsidR="006565FE" w:rsidRDefault="006565FE"/>
          <w:p w:rsidR="003E1B8E" w:rsidRPr="006565FE" w:rsidRDefault="006565FE">
            <w:pPr>
              <w:rPr>
                <w:i/>
              </w:rPr>
            </w:pPr>
            <w:r>
              <w:rPr>
                <w:i/>
              </w:rPr>
              <w:t>NB: Monday is Queen’s Birthday. We only meet on Tuesday this week.</w:t>
            </w:r>
          </w:p>
        </w:tc>
        <w:tc>
          <w:tcPr>
            <w:tcW w:w="6154" w:type="dxa"/>
            <w:tcBorders>
              <w:bottom w:val="single" w:sz="4" w:space="0" w:color="000000" w:themeColor="text1"/>
            </w:tcBorders>
          </w:tcPr>
          <w:p w:rsidR="003E1B8E" w:rsidRPr="00D15C75" w:rsidRDefault="00D15C75" w:rsidP="00D15C75">
            <w:pPr>
              <w:rPr>
                <w:i/>
              </w:rPr>
            </w:pPr>
            <w:r>
              <w:rPr>
                <w:i/>
              </w:rPr>
              <w:t>No readings assigned for this week.</w:t>
            </w:r>
          </w:p>
        </w:tc>
      </w:tr>
    </w:tbl>
    <w:p w:rsidR="003632DF" w:rsidRPr="00220BCC" w:rsidRDefault="003632DF" w:rsidP="003632DF"/>
    <w:p w:rsidR="00915D55" w:rsidRDefault="00915D55"/>
    <w:sectPr w:rsidR="00915D55" w:rsidSect="008A1A8B">
      <w:footerReference w:type="even" r:id="rId17"/>
      <w:footerReference w:type="default" r:id="rId18"/>
      <w:pgSz w:w="11909" w:h="16834"/>
      <w:pgMar w:top="1152" w:right="1440"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EE6" w:rsidRDefault="00EA6EE6">
      <w:r>
        <w:separator/>
      </w:r>
    </w:p>
  </w:endnote>
  <w:endnote w:type="continuationSeparator" w:id="0">
    <w:p w:rsidR="00EA6EE6" w:rsidRDefault="00E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CC" w:rsidRDefault="004A33CC" w:rsidP="008A1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3CC" w:rsidRDefault="004A33CC" w:rsidP="008A1A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CC" w:rsidRDefault="004A33CC" w:rsidP="008A1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94B">
      <w:rPr>
        <w:rStyle w:val="PageNumber"/>
        <w:noProof/>
      </w:rPr>
      <w:t>4</w:t>
    </w:r>
    <w:r>
      <w:rPr>
        <w:rStyle w:val="PageNumber"/>
      </w:rPr>
      <w:fldChar w:fldCharType="end"/>
    </w:r>
  </w:p>
  <w:p w:rsidR="004A33CC" w:rsidRDefault="004A33CC" w:rsidP="008A1A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EE6" w:rsidRDefault="00EA6EE6">
      <w:r>
        <w:separator/>
      </w:r>
    </w:p>
  </w:footnote>
  <w:footnote w:type="continuationSeparator" w:id="0">
    <w:p w:rsidR="00EA6EE6" w:rsidRDefault="00E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19"/>
    <w:multiLevelType w:val="hybridMultilevel"/>
    <w:tmpl w:val="958C81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53EC8"/>
    <w:multiLevelType w:val="hybridMultilevel"/>
    <w:tmpl w:val="E1A054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00C9E"/>
    <w:multiLevelType w:val="hybridMultilevel"/>
    <w:tmpl w:val="3A4E49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C1B3512"/>
    <w:multiLevelType w:val="hybridMultilevel"/>
    <w:tmpl w:val="6ED8D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5F123B"/>
    <w:multiLevelType w:val="hybridMultilevel"/>
    <w:tmpl w:val="3D3C9DB2"/>
    <w:lvl w:ilvl="0" w:tplc="40207B36">
      <w:start w:val="1"/>
      <w:numFmt w:val="bullet"/>
      <w:lvlText w:val=""/>
      <w:lvlJc w:val="left"/>
      <w:pPr>
        <w:ind w:left="851" w:firstLine="229"/>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00F6CE3"/>
    <w:multiLevelType w:val="hybridMultilevel"/>
    <w:tmpl w:val="213EB9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A184B"/>
    <w:multiLevelType w:val="hybridMultilevel"/>
    <w:tmpl w:val="4C5E0F8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7FB1EB1"/>
    <w:multiLevelType w:val="hybridMultilevel"/>
    <w:tmpl w:val="6D76BE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D35393"/>
    <w:multiLevelType w:val="hybridMultilevel"/>
    <w:tmpl w:val="D9C28B94"/>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48F4261"/>
    <w:multiLevelType w:val="hybridMultilevel"/>
    <w:tmpl w:val="75B2CB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8B286F"/>
    <w:multiLevelType w:val="hybridMultilevel"/>
    <w:tmpl w:val="C88AEB8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230254F"/>
    <w:multiLevelType w:val="hybridMultilevel"/>
    <w:tmpl w:val="BBFE99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23EBD"/>
    <w:multiLevelType w:val="hybridMultilevel"/>
    <w:tmpl w:val="C3041114"/>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3FD7391"/>
    <w:multiLevelType w:val="hybridMultilevel"/>
    <w:tmpl w:val="CB6C6D3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C2269DC"/>
    <w:multiLevelType w:val="hybridMultilevel"/>
    <w:tmpl w:val="F4D8BE7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2"/>
  </w:num>
  <w:num w:numId="4">
    <w:abstractNumId w:val="7"/>
  </w:num>
  <w:num w:numId="5">
    <w:abstractNumId w:val="6"/>
  </w:num>
  <w:num w:numId="6">
    <w:abstractNumId w:val="8"/>
  </w:num>
  <w:num w:numId="7">
    <w:abstractNumId w:val="0"/>
  </w:num>
  <w:num w:numId="8">
    <w:abstractNumId w:val="1"/>
  </w:num>
  <w:num w:numId="9">
    <w:abstractNumId w:val="3"/>
  </w:num>
  <w:num w:numId="10">
    <w:abstractNumId w:val="13"/>
  </w:num>
  <w:num w:numId="11">
    <w:abstractNumId w:val="12"/>
  </w:num>
  <w:num w:numId="12">
    <w:abstractNumId w:val="10"/>
  </w:num>
  <w:num w:numId="13">
    <w:abstractNumId w:val="14"/>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15D55"/>
    <w:rsid w:val="00000AB1"/>
    <w:rsid w:val="000339B2"/>
    <w:rsid w:val="00043016"/>
    <w:rsid w:val="0006750E"/>
    <w:rsid w:val="000C09F7"/>
    <w:rsid w:val="000E3364"/>
    <w:rsid w:val="000F371F"/>
    <w:rsid w:val="001103FF"/>
    <w:rsid w:val="00141212"/>
    <w:rsid w:val="00142152"/>
    <w:rsid w:val="00187A5D"/>
    <w:rsid w:val="002428F7"/>
    <w:rsid w:val="002435BC"/>
    <w:rsid w:val="002B38AF"/>
    <w:rsid w:val="002B5EBF"/>
    <w:rsid w:val="00350F38"/>
    <w:rsid w:val="003632DF"/>
    <w:rsid w:val="00363B35"/>
    <w:rsid w:val="00375BA3"/>
    <w:rsid w:val="003816B5"/>
    <w:rsid w:val="0038694B"/>
    <w:rsid w:val="003D7B03"/>
    <w:rsid w:val="003E1B8E"/>
    <w:rsid w:val="003E5A65"/>
    <w:rsid w:val="004354F3"/>
    <w:rsid w:val="004602A9"/>
    <w:rsid w:val="00493BD2"/>
    <w:rsid w:val="004A33CC"/>
    <w:rsid w:val="004C3661"/>
    <w:rsid w:val="004E6CC3"/>
    <w:rsid w:val="00516040"/>
    <w:rsid w:val="00582A44"/>
    <w:rsid w:val="00597281"/>
    <w:rsid w:val="005C2705"/>
    <w:rsid w:val="005F3AB8"/>
    <w:rsid w:val="0062015E"/>
    <w:rsid w:val="00626092"/>
    <w:rsid w:val="006565FE"/>
    <w:rsid w:val="006A6EEC"/>
    <w:rsid w:val="006D5E84"/>
    <w:rsid w:val="00756088"/>
    <w:rsid w:val="007610AB"/>
    <w:rsid w:val="00794470"/>
    <w:rsid w:val="007A6B54"/>
    <w:rsid w:val="007B68DB"/>
    <w:rsid w:val="007D55AF"/>
    <w:rsid w:val="0080438A"/>
    <w:rsid w:val="008055DB"/>
    <w:rsid w:val="008142C2"/>
    <w:rsid w:val="00815D73"/>
    <w:rsid w:val="008472A4"/>
    <w:rsid w:val="008648DF"/>
    <w:rsid w:val="00870611"/>
    <w:rsid w:val="0087598C"/>
    <w:rsid w:val="008A1A8B"/>
    <w:rsid w:val="008E3A49"/>
    <w:rsid w:val="008F320D"/>
    <w:rsid w:val="00900A33"/>
    <w:rsid w:val="00915D55"/>
    <w:rsid w:val="009B45A0"/>
    <w:rsid w:val="009C3691"/>
    <w:rsid w:val="009C551A"/>
    <w:rsid w:val="009D7BBF"/>
    <w:rsid w:val="009F010F"/>
    <w:rsid w:val="00A05F28"/>
    <w:rsid w:val="00A15290"/>
    <w:rsid w:val="00A357A6"/>
    <w:rsid w:val="00A42592"/>
    <w:rsid w:val="00A456B4"/>
    <w:rsid w:val="00AD5205"/>
    <w:rsid w:val="00B03872"/>
    <w:rsid w:val="00B13BD9"/>
    <w:rsid w:val="00B46B6E"/>
    <w:rsid w:val="00C0123C"/>
    <w:rsid w:val="00C20559"/>
    <w:rsid w:val="00C35C76"/>
    <w:rsid w:val="00C84CC8"/>
    <w:rsid w:val="00C87F68"/>
    <w:rsid w:val="00C9104B"/>
    <w:rsid w:val="00C9141B"/>
    <w:rsid w:val="00CC1FEB"/>
    <w:rsid w:val="00CF102D"/>
    <w:rsid w:val="00CF2F41"/>
    <w:rsid w:val="00D15C75"/>
    <w:rsid w:val="00D27912"/>
    <w:rsid w:val="00D347D7"/>
    <w:rsid w:val="00D61956"/>
    <w:rsid w:val="00D658A0"/>
    <w:rsid w:val="00DA29D6"/>
    <w:rsid w:val="00DA718D"/>
    <w:rsid w:val="00DB0F8B"/>
    <w:rsid w:val="00E34599"/>
    <w:rsid w:val="00EA6EE6"/>
    <w:rsid w:val="00F44323"/>
    <w:rsid w:val="00F609EB"/>
    <w:rsid w:val="00F73A29"/>
    <w:rsid w:val="00F77F2A"/>
    <w:rsid w:val="00FA749A"/>
    <w:rsid w:val="00FB4996"/>
    <w:rsid w:val="00FD64D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32EAE-388D-4A96-A04E-758D20C2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D5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32DF"/>
    <w:rPr>
      <w:color w:val="0000FF" w:themeColor="hyperlink"/>
      <w:u w:val="single"/>
    </w:rPr>
  </w:style>
  <w:style w:type="paragraph" w:styleId="ListParagraph">
    <w:name w:val="List Paragraph"/>
    <w:basedOn w:val="Normal"/>
    <w:uiPriority w:val="34"/>
    <w:qFormat/>
    <w:rsid w:val="003632DF"/>
    <w:pPr>
      <w:ind w:left="720"/>
      <w:contextualSpacing/>
    </w:pPr>
  </w:style>
  <w:style w:type="character" w:styleId="Strong">
    <w:name w:val="Strong"/>
    <w:basedOn w:val="DefaultParagraphFont"/>
    <w:rsid w:val="003632DF"/>
    <w:rPr>
      <w:b/>
      <w:bCs/>
    </w:rPr>
  </w:style>
  <w:style w:type="paragraph" w:styleId="Footer">
    <w:name w:val="footer"/>
    <w:basedOn w:val="Normal"/>
    <w:link w:val="FooterChar"/>
    <w:rsid w:val="003632DF"/>
    <w:pPr>
      <w:tabs>
        <w:tab w:val="center" w:pos="4320"/>
        <w:tab w:val="right" w:pos="8640"/>
      </w:tabs>
    </w:pPr>
  </w:style>
  <w:style w:type="character" w:customStyle="1" w:styleId="FooterChar">
    <w:name w:val="Footer Char"/>
    <w:basedOn w:val="DefaultParagraphFont"/>
    <w:link w:val="Footer"/>
    <w:rsid w:val="003632DF"/>
    <w:rPr>
      <w:rFonts w:ascii="Times New Roman" w:hAnsi="Times New Roman"/>
    </w:rPr>
  </w:style>
  <w:style w:type="character" w:styleId="PageNumber">
    <w:name w:val="page number"/>
    <w:basedOn w:val="DefaultParagraphFont"/>
    <w:rsid w:val="003632DF"/>
  </w:style>
  <w:style w:type="paragraph" w:styleId="BalloonText">
    <w:name w:val="Balloon Text"/>
    <w:basedOn w:val="Normal"/>
    <w:link w:val="BalloonTextChar"/>
    <w:uiPriority w:val="99"/>
    <w:unhideWhenUsed/>
    <w:rsid w:val="003632DF"/>
    <w:rPr>
      <w:rFonts w:ascii="Lucida Grande" w:hAnsi="Lucida Grande"/>
      <w:sz w:val="18"/>
      <w:szCs w:val="18"/>
    </w:rPr>
  </w:style>
  <w:style w:type="character" w:customStyle="1" w:styleId="BalloonTextChar">
    <w:name w:val="Balloon Text Char"/>
    <w:basedOn w:val="DefaultParagraphFont"/>
    <w:link w:val="BalloonText"/>
    <w:uiPriority w:val="99"/>
    <w:rsid w:val="003632DF"/>
    <w:rPr>
      <w:rFonts w:ascii="Lucida Grande" w:hAnsi="Lucida Grande"/>
      <w:sz w:val="18"/>
      <w:szCs w:val="18"/>
    </w:rPr>
  </w:style>
  <w:style w:type="table" w:styleId="TableGrid">
    <w:name w:val="Table Grid"/>
    <w:basedOn w:val="TableNormal"/>
    <w:rsid w:val="003632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632DF"/>
    <w:pPr>
      <w:widowControl w:val="0"/>
      <w:autoSpaceDE w:val="0"/>
      <w:autoSpaceDN w:val="0"/>
      <w:adjustRightInd w:val="0"/>
    </w:pPr>
    <w:rPr>
      <w:rFonts w:ascii="Calibri" w:hAnsi="Calibri" w:cs="Calibri"/>
      <w:color w:val="000000"/>
    </w:rPr>
  </w:style>
  <w:style w:type="character" w:customStyle="1" w:styleId="exldetailsdisplayval">
    <w:name w:val="exldetailsdisplayval"/>
    <w:basedOn w:val="DefaultParagraphFont"/>
    <w:rsid w:val="00F44323"/>
  </w:style>
  <w:style w:type="character" w:customStyle="1" w:styleId="searchword">
    <w:name w:val="searchword"/>
    <w:basedOn w:val="DefaultParagraphFont"/>
    <w:rsid w:val="00F4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owden@auckland.ac.nz"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ientificamerican.com/article/a-learning-secret-don-t-take-notes-with-a-lapt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10.1080/14680777.2015.11379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auckland.ac.nz/policy-display-register/student-academic-conduct-statute.pdf" TargetMode="External"/><Relationship Id="rId5" Type="http://schemas.openxmlformats.org/officeDocument/2006/relationships/footnotes" Target="footnotes.xml"/><Relationship Id="rId15" Type="http://schemas.openxmlformats.org/officeDocument/2006/relationships/hyperlink" Target="http://dx.doi.org.ezproxy.auckland.ac.nz/%2010.1017/S0003055414000239"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online.barnard.edu/polyphonic/print_ahm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Carisa R. Showden</dc:creator>
  <cp:keywords/>
  <cp:lastModifiedBy>Carisa Showden</cp:lastModifiedBy>
  <cp:revision>27</cp:revision>
  <cp:lastPrinted>2017-02-07T23:47:00Z</cp:lastPrinted>
  <dcterms:created xsi:type="dcterms:W3CDTF">2017-01-09T05:45:00Z</dcterms:created>
  <dcterms:modified xsi:type="dcterms:W3CDTF">2017-02-07T23:49:00Z</dcterms:modified>
</cp:coreProperties>
</file>