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2A995" w14:textId="7A5066CB" w:rsidR="001C79D7" w:rsidRDefault="001C79D7" w:rsidP="001C79D7">
      <w:pPr>
        <w:spacing w:after="0"/>
        <w:rPr>
          <w:rFonts w:asciiTheme="majorHAnsi" w:hAnsiTheme="majorHAnsi"/>
          <w:b/>
          <w:color w:val="4F81BD" w:themeColor="accent1"/>
          <w:sz w:val="52"/>
          <w:szCs w:val="52"/>
        </w:rPr>
      </w:pPr>
      <w:r>
        <w:rPr>
          <w:noProof/>
          <w:lang w:eastAsia="en-NZ"/>
        </w:rPr>
        <w:drawing>
          <wp:anchor distT="0" distB="0" distL="114300" distR="114300" simplePos="0" relativeHeight="251664384" behindDoc="1" locked="0" layoutInCell="1" allowOverlap="1" wp14:anchorId="4013E7CF" wp14:editId="56B0C1CC">
            <wp:simplePos x="722630" y="722630"/>
            <wp:positionH relativeFrom="margin">
              <wp:align>right</wp:align>
            </wp:positionH>
            <wp:positionV relativeFrom="margin">
              <wp:align>top</wp:align>
            </wp:positionV>
            <wp:extent cx="1998980" cy="680720"/>
            <wp:effectExtent l="0" t="0" r="1270" b="5080"/>
            <wp:wrapSquare wrapText="bothSides"/>
            <wp:docPr id="2" name="Picture 2" descr="The University of A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Auck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9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2FE" w:rsidRPr="00C50952">
        <w:rPr>
          <w:rFonts w:asciiTheme="majorHAnsi" w:hAnsiTheme="majorHAnsi"/>
          <w:b/>
          <w:color w:val="4F81BD" w:themeColor="accent1"/>
          <w:sz w:val="52"/>
          <w:szCs w:val="52"/>
        </w:rPr>
        <w:t>Anthro</w:t>
      </w:r>
      <w:r>
        <w:rPr>
          <w:rFonts w:asciiTheme="majorHAnsi" w:hAnsiTheme="majorHAnsi"/>
          <w:b/>
          <w:color w:val="4F81BD" w:themeColor="accent1"/>
          <w:sz w:val="52"/>
          <w:szCs w:val="52"/>
        </w:rPr>
        <w:t>pology</w:t>
      </w:r>
      <w:r w:rsidR="005B1C9A">
        <w:rPr>
          <w:rFonts w:asciiTheme="majorHAnsi" w:hAnsiTheme="majorHAnsi"/>
          <w:b/>
          <w:color w:val="4F81BD" w:themeColor="accent1"/>
          <w:sz w:val="52"/>
          <w:szCs w:val="52"/>
        </w:rPr>
        <w:t xml:space="preserve"> 235</w:t>
      </w:r>
      <w:r w:rsidR="00D302FE" w:rsidRPr="00C50952">
        <w:rPr>
          <w:rFonts w:asciiTheme="majorHAnsi" w:hAnsiTheme="majorHAnsi"/>
          <w:b/>
          <w:color w:val="4F81BD" w:themeColor="accent1"/>
          <w:sz w:val="52"/>
          <w:szCs w:val="52"/>
        </w:rPr>
        <w:t xml:space="preserve">: </w:t>
      </w:r>
    </w:p>
    <w:p w14:paraId="0D9088A2" w14:textId="7EDA917E" w:rsidR="00E24B37" w:rsidRDefault="005B1C9A" w:rsidP="001C79D7">
      <w:pPr>
        <w:spacing w:after="0"/>
        <w:rPr>
          <w:rFonts w:asciiTheme="majorHAnsi" w:hAnsiTheme="majorHAnsi"/>
          <w:b/>
          <w:color w:val="4F81BD" w:themeColor="accent1"/>
          <w:sz w:val="52"/>
          <w:szCs w:val="52"/>
        </w:rPr>
      </w:pPr>
      <w:r>
        <w:rPr>
          <w:rFonts w:asciiTheme="majorHAnsi" w:hAnsiTheme="majorHAnsi"/>
          <w:b/>
          <w:color w:val="4F81BD" w:themeColor="accent1"/>
          <w:sz w:val="52"/>
          <w:szCs w:val="52"/>
        </w:rPr>
        <w:t>The anthropology of human remains</w:t>
      </w:r>
    </w:p>
    <w:p w14:paraId="7CD6579C" w14:textId="77777777" w:rsidR="001C79D7" w:rsidRDefault="001C79D7">
      <w:pPr>
        <w:rPr>
          <w:rFonts w:asciiTheme="majorHAnsi" w:hAnsiTheme="majorHAnsi"/>
          <w:b/>
        </w:rPr>
      </w:pPr>
    </w:p>
    <w:p w14:paraId="45EBF4AE" w14:textId="02CEB203" w:rsidR="00D302FE" w:rsidRPr="001C79D7" w:rsidRDefault="00FB730A">
      <w:pPr>
        <w:rPr>
          <w:rFonts w:asciiTheme="majorHAnsi" w:hAnsiTheme="majorHAnsi"/>
          <w:b/>
        </w:rPr>
      </w:pPr>
      <w:r>
        <w:rPr>
          <w:rFonts w:asciiTheme="majorHAnsi" w:hAnsiTheme="majorHAnsi"/>
          <w:b/>
        </w:rPr>
        <w:t>Second Semester</w:t>
      </w:r>
      <w:r w:rsidR="005B1C9A">
        <w:rPr>
          <w:rFonts w:asciiTheme="majorHAnsi" w:hAnsiTheme="majorHAnsi"/>
          <w:b/>
        </w:rPr>
        <w:t xml:space="preserve"> 2018</w:t>
      </w:r>
    </w:p>
    <w:p w14:paraId="08169E8A" w14:textId="77777777" w:rsidR="00D302FE" w:rsidRDefault="00225690">
      <w:r>
        <w:rPr>
          <w:noProof/>
          <w:szCs w:val="56"/>
          <w:lang w:eastAsia="en-NZ"/>
        </w:rPr>
        <mc:AlternateContent>
          <mc:Choice Requires="wps">
            <w:drawing>
              <wp:anchor distT="0" distB="0" distL="457200" distR="114300" simplePos="0" relativeHeight="251661312" behindDoc="0" locked="0" layoutInCell="0" allowOverlap="1" wp14:anchorId="56078188" wp14:editId="790110C0">
                <wp:simplePos x="0" y="0"/>
                <wp:positionH relativeFrom="margin">
                  <wp:align>right</wp:align>
                </wp:positionH>
                <wp:positionV relativeFrom="margin">
                  <wp:align>bottom</wp:align>
                </wp:positionV>
                <wp:extent cx="2006600" cy="7695565"/>
                <wp:effectExtent l="0" t="0" r="12700" b="19685"/>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930" cy="7695565"/>
                        </a:xfrm>
                        <a:prstGeom prst="rect">
                          <a:avLst/>
                        </a:prstGeom>
                        <a:noFill/>
                        <a:ln w="15875">
                          <a:solidFill>
                            <a:schemeClr val="accent1"/>
                          </a:solidFill>
                        </a:ln>
                        <a:extLst/>
                      </wps:spPr>
                      <wps:style>
                        <a:lnRef idx="0">
                          <a:scrgbClr r="0" g="0" b="0"/>
                        </a:lnRef>
                        <a:fillRef idx="1003">
                          <a:schemeClr val="lt1"/>
                        </a:fillRef>
                        <a:effectRef idx="0">
                          <a:scrgbClr r="0" g="0" b="0"/>
                        </a:effectRef>
                        <a:fontRef idx="major"/>
                      </wps:style>
                      <wps:txbx>
                        <w:txbxContent>
                          <w:p w14:paraId="3D8C5B65" w14:textId="2A2D74F1" w:rsidR="00293B21" w:rsidRDefault="00293B21" w:rsidP="00225690">
                            <w:pPr>
                              <w:pStyle w:val="Heading1"/>
                              <w:pBdr>
                                <w:left w:val="single" w:sz="6" w:space="9" w:color="4F81BD" w:themeColor="accent1"/>
                              </w:pBdr>
                              <w:spacing w:before="0" w:after="240"/>
                              <w:jc w:val="center"/>
                              <w:rPr>
                                <w:color w:val="1F497D" w:themeColor="text2"/>
                              </w:rPr>
                            </w:pPr>
                            <w:r>
                              <w:rPr>
                                <w:color w:val="1F497D" w:themeColor="text2"/>
                              </w:rPr>
                              <w:t>Cou</w:t>
                            </w:r>
                            <w:r w:rsidR="00755254">
                              <w:rPr>
                                <w:color w:val="1F497D" w:themeColor="text2"/>
                              </w:rPr>
                              <w:t>r</w:t>
                            </w:r>
                            <w:r>
                              <w:rPr>
                                <w:color w:val="1F497D" w:themeColor="text2"/>
                              </w:rPr>
                              <w:t>se Details</w:t>
                            </w:r>
                          </w:p>
                          <w:p w14:paraId="4C9B1113" w14:textId="77777777" w:rsidR="00293B21" w:rsidRDefault="00293B21">
                            <w:pPr>
                              <w:pBdr>
                                <w:left w:val="single" w:sz="6" w:space="9" w:color="4F81BD" w:themeColor="accent1"/>
                              </w:pBdr>
                              <w:spacing w:line="480" w:lineRule="auto"/>
                              <w:rPr>
                                <w:color w:val="1F497D" w:themeColor="text2"/>
                                <w:sz w:val="24"/>
                                <w:szCs w:val="24"/>
                              </w:rPr>
                            </w:pPr>
                            <w:r>
                              <w:rPr>
                                <w:color w:val="1F497D" w:themeColor="text2"/>
                                <w:sz w:val="24"/>
                                <w:szCs w:val="24"/>
                              </w:rPr>
                              <w:t>Course value: 15 points</w:t>
                            </w:r>
                          </w:p>
                          <w:p w14:paraId="73EAE881"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Lectures:</w:t>
                            </w:r>
                          </w:p>
                          <w:p w14:paraId="4062CB1D" w14:textId="1C6300B1" w:rsidR="00293B21"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Wednesday 3-5 pm</w:t>
                            </w:r>
                          </w:p>
                          <w:p w14:paraId="4F0560E5" w14:textId="77777777" w:rsidR="005B1C9A" w:rsidRDefault="005B1C9A" w:rsidP="00225690">
                            <w:pPr>
                              <w:pBdr>
                                <w:left w:val="single" w:sz="6" w:space="9" w:color="4F81BD" w:themeColor="accent1"/>
                              </w:pBdr>
                              <w:spacing w:after="0" w:line="240" w:lineRule="auto"/>
                              <w:rPr>
                                <w:color w:val="1F497D" w:themeColor="text2"/>
                                <w:sz w:val="24"/>
                                <w:szCs w:val="24"/>
                              </w:rPr>
                            </w:pPr>
                          </w:p>
                          <w:p w14:paraId="2916DECB"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Tutorials/Labs:</w:t>
                            </w:r>
                          </w:p>
                          <w:p w14:paraId="6D6DE19E" w14:textId="2ACD00C9" w:rsidR="00293B21"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One </w:t>
                            </w:r>
                            <w:r w:rsidR="00037B6D">
                              <w:rPr>
                                <w:color w:val="1F497D" w:themeColor="text2"/>
                                <w:sz w:val="24"/>
                                <w:szCs w:val="24"/>
                              </w:rPr>
                              <w:t>one-hour lab per week starting in Week 2</w:t>
                            </w:r>
                          </w:p>
                          <w:p w14:paraId="1D1E556D" w14:textId="77777777" w:rsidR="005B1C9A" w:rsidRDefault="005B1C9A" w:rsidP="00225690">
                            <w:pPr>
                              <w:pBdr>
                                <w:left w:val="single" w:sz="6" w:space="9" w:color="4F81BD" w:themeColor="accent1"/>
                              </w:pBdr>
                              <w:spacing w:after="0" w:line="240" w:lineRule="auto"/>
                              <w:rPr>
                                <w:color w:val="1F497D" w:themeColor="text2"/>
                                <w:sz w:val="24"/>
                                <w:szCs w:val="24"/>
                              </w:rPr>
                            </w:pPr>
                          </w:p>
                          <w:p w14:paraId="2FC0093F" w14:textId="527C5CA4" w:rsidR="005B1C9A"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Human Sciences Building Room 706</w:t>
                            </w:r>
                          </w:p>
                          <w:p w14:paraId="2B755C5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0654043"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75F3A6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7B5183F8" w14:textId="77777777" w:rsidR="00293B21" w:rsidRPr="00CF4295" w:rsidRDefault="00293B21" w:rsidP="00CF4295">
                            <w:pPr>
                              <w:pBdr>
                                <w:left w:val="single" w:sz="6" w:space="9" w:color="4F81BD" w:themeColor="accent1"/>
                              </w:pBdr>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Course S</w:t>
                            </w:r>
                            <w:r w:rsidRPr="00CF4295">
                              <w:rPr>
                                <w:rFonts w:asciiTheme="majorHAnsi" w:hAnsiTheme="majorHAnsi"/>
                                <w:b/>
                                <w:color w:val="1F497D" w:themeColor="text2"/>
                                <w:sz w:val="28"/>
                                <w:szCs w:val="28"/>
                              </w:rPr>
                              <w:t>taff</w:t>
                            </w:r>
                          </w:p>
                          <w:p w14:paraId="0140C486"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CBFECDF"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Convenor:</w:t>
                            </w:r>
                          </w:p>
                          <w:p w14:paraId="3F76BA16" w14:textId="50FE03BF" w:rsidR="00293B21"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Prof</w:t>
                            </w:r>
                            <w:r w:rsidR="00037B6D">
                              <w:rPr>
                                <w:color w:val="1F497D" w:themeColor="text2"/>
                                <w:sz w:val="24"/>
                                <w:szCs w:val="24"/>
                              </w:rPr>
                              <w:t xml:space="preserve"> Judith Littleton</w:t>
                            </w:r>
                            <w:r w:rsidR="00037B6D">
                              <w:rPr>
                                <w:color w:val="1F497D" w:themeColor="text2"/>
                                <w:sz w:val="24"/>
                                <w:szCs w:val="24"/>
                              </w:rPr>
                              <w:br/>
                              <w:t>j.littleton@auckland.ac.nz</w:t>
                            </w:r>
                          </w:p>
                          <w:p w14:paraId="48CDBB34" w14:textId="77777777" w:rsidR="00293B21" w:rsidRDefault="00293B21" w:rsidP="00225690">
                            <w:pPr>
                              <w:pBdr>
                                <w:left w:val="single" w:sz="6" w:space="9" w:color="4F81BD" w:themeColor="accent1"/>
                              </w:pBdr>
                              <w:spacing w:after="0" w:line="240" w:lineRule="auto"/>
                              <w:rPr>
                                <w:color w:val="1F497D" w:themeColor="text2"/>
                                <w:sz w:val="24"/>
                                <w:szCs w:val="24"/>
                              </w:rPr>
                            </w:pPr>
                          </w:p>
                          <w:p w14:paraId="07FAE63C" w14:textId="6CE7F4B1" w:rsidR="00490E48" w:rsidRDefault="00490E48"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Office hours: 2-3 Wednesday; 10-11 Friday.</w:t>
                            </w:r>
                          </w:p>
                          <w:p w14:paraId="2C70E695" w14:textId="5CFB3066" w:rsidR="005B1C9A"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Room 722 </w:t>
                            </w:r>
                            <w:r>
                              <w:rPr>
                                <w:color w:val="1F497D" w:themeColor="text2"/>
                                <w:sz w:val="24"/>
                                <w:szCs w:val="24"/>
                              </w:rPr>
                              <w:br/>
                              <w:t>Human Sciences Building</w:t>
                            </w:r>
                          </w:p>
                          <w:p w14:paraId="0D930A34" w14:textId="77777777" w:rsidR="005B1C9A" w:rsidRDefault="005B1C9A" w:rsidP="00225690">
                            <w:pPr>
                              <w:pBdr>
                                <w:left w:val="single" w:sz="6" w:space="9" w:color="4F81BD" w:themeColor="accent1"/>
                              </w:pBdr>
                              <w:spacing w:after="0" w:line="240" w:lineRule="auto"/>
                              <w:rPr>
                                <w:color w:val="1F497D" w:themeColor="text2"/>
                                <w:sz w:val="24"/>
                                <w:szCs w:val="24"/>
                              </w:rPr>
                            </w:pPr>
                          </w:p>
                          <w:p w14:paraId="188F53FD" w14:textId="6E3A1DE4"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w:t>
                            </w:r>
                            <w:r w:rsidR="008E7516">
                              <w:rPr>
                                <w:rFonts w:asciiTheme="majorHAnsi" w:hAnsiTheme="majorHAnsi"/>
                                <w:b/>
                                <w:color w:val="1F497D" w:themeColor="text2"/>
                                <w:sz w:val="24"/>
                                <w:szCs w:val="24"/>
                              </w:rPr>
                              <w:t>s</w:t>
                            </w:r>
                            <w:r w:rsidRPr="00CF4295">
                              <w:rPr>
                                <w:rFonts w:asciiTheme="majorHAnsi" w:hAnsiTheme="majorHAnsi"/>
                                <w:b/>
                                <w:color w:val="1F497D" w:themeColor="text2"/>
                                <w:sz w:val="24"/>
                                <w:szCs w:val="24"/>
                              </w:rPr>
                              <w:t>:</w:t>
                            </w:r>
                          </w:p>
                          <w:p w14:paraId="199C0198" w14:textId="66BC020A" w:rsidR="008E7516"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Caitlin Smith</w:t>
                            </w:r>
                          </w:p>
                          <w:p w14:paraId="19A31587" w14:textId="4A041680" w:rsidR="00490E48" w:rsidRDefault="00490E48"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Csmi874@aucklanduni.ac.nz</w:t>
                            </w:r>
                          </w:p>
                          <w:p w14:paraId="0884D8D9" w14:textId="77777777" w:rsidR="00957C35" w:rsidRDefault="00957C35" w:rsidP="00225690">
                            <w:pPr>
                              <w:pBdr>
                                <w:left w:val="single" w:sz="6" w:space="9" w:color="4F81BD" w:themeColor="accent1"/>
                              </w:pBdr>
                              <w:spacing w:after="0" w:line="240" w:lineRule="auto"/>
                              <w:rPr>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078188" id="AutoShape 14" o:spid="_x0000_s1026" style="position:absolute;margin-left:106.8pt;margin-top:0;width:158pt;height:605.95pt;z-index:251661312;visibility:visible;mso-wrap-style:square;mso-width-percent:0;mso-height-percent:0;mso-wrap-distance-left:3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" o:allowincell="f" filled="f" strokecolor="#4f81bd [3204]" strokeweight="1.25pt">
                <v:textbox inset=",7.2pt,,7.2pt">
                  <w:txbxContent>
                    <w:p w14:paraId="3D8C5B65" w14:textId="2A2D74F1" w:rsidR="00293B21" w:rsidRDefault="00293B21" w:rsidP="00225690">
                      <w:pPr>
                        <w:pStyle w:val="Heading1"/>
                        <w:pBdr>
                          <w:left w:val="single" w:sz="6" w:space="9" w:color="4F81BD" w:themeColor="accent1"/>
                        </w:pBdr>
                        <w:spacing w:before="0" w:after="240"/>
                        <w:jc w:val="center"/>
                        <w:rPr>
                          <w:color w:val="1F497D" w:themeColor="text2"/>
                        </w:rPr>
                      </w:pPr>
                      <w:r>
                        <w:rPr>
                          <w:color w:val="1F497D" w:themeColor="text2"/>
                        </w:rPr>
                        <w:t>Cou</w:t>
                      </w:r>
                      <w:r w:rsidR="00755254">
                        <w:rPr>
                          <w:color w:val="1F497D" w:themeColor="text2"/>
                        </w:rPr>
                        <w:t>r</w:t>
                      </w:r>
                      <w:r>
                        <w:rPr>
                          <w:color w:val="1F497D" w:themeColor="text2"/>
                        </w:rPr>
                        <w:t>se Details</w:t>
                      </w:r>
                    </w:p>
                    <w:p w14:paraId="4C9B1113" w14:textId="77777777" w:rsidR="00293B21" w:rsidRDefault="00293B21">
                      <w:pPr>
                        <w:pBdr>
                          <w:left w:val="single" w:sz="6" w:space="9" w:color="4F81BD" w:themeColor="accent1"/>
                        </w:pBdr>
                        <w:spacing w:line="480" w:lineRule="auto"/>
                        <w:rPr>
                          <w:color w:val="1F497D" w:themeColor="text2"/>
                          <w:sz w:val="24"/>
                          <w:szCs w:val="24"/>
                        </w:rPr>
                      </w:pPr>
                      <w:r>
                        <w:rPr>
                          <w:color w:val="1F497D" w:themeColor="text2"/>
                          <w:sz w:val="24"/>
                          <w:szCs w:val="24"/>
                        </w:rPr>
                        <w:t>Course value: 15 points</w:t>
                      </w:r>
                    </w:p>
                    <w:p w14:paraId="73EAE881"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Lectures:</w:t>
                      </w:r>
                    </w:p>
                    <w:p w14:paraId="4062CB1D" w14:textId="1C6300B1" w:rsidR="00293B21"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Wednesday 3-5 pm</w:t>
                      </w:r>
                    </w:p>
                    <w:p w14:paraId="4F0560E5" w14:textId="77777777" w:rsidR="005B1C9A" w:rsidRDefault="005B1C9A" w:rsidP="00225690">
                      <w:pPr>
                        <w:pBdr>
                          <w:left w:val="single" w:sz="6" w:space="9" w:color="4F81BD" w:themeColor="accent1"/>
                        </w:pBdr>
                        <w:spacing w:after="0" w:line="240" w:lineRule="auto"/>
                        <w:rPr>
                          <w:color w:val="1F497D" w:themeColor="text2"/>
                          <w:sz w:val="24"/>
                          <w:szCs w:val="24"/>
                        </w:rPr>
                      </w:pPr>
                    </w:p>
                    <w:p w14:paraId="2916DECB"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Tutorials/Labs:</w:t>
                      </w:r>
                    </w:p>
                    <w:p w14:paraId="6D6DE19E" w14:textId="2ACD00C9" w:rsidR="00293B21"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One </w:t>
                      </w:r>
                      <w:r w:rsidR="00037B6D">
                        <w:rPr>
                          <w:color w:val="1F497D" w:themeColor="text2"/>
                          <w:sz w:val="24"/>
                          <w:szCs w:val="24"/>
                        </w:rPr>
                        <w:t>one-hour lab per week starting in Week 2</w:t>
                      </w:r>
                    </w:p>
                    <w:p w14:paraId="1D1E556D" w14:textId="77777777" w:rsidR="005B1C9A" w:rsidRDefault="005B1C9A" w:rsidP="00225690">
                      <w:pPr>
                        <w:pBdr>
                          <w:left w:val="single" w:sz="6" w:space="9" w:color="4F81BD" w:themeColor="accent1"/>
                        </w:pBdr>
                        <w:spacing w:after="0" w:line="240" w:lineRule="auto"/>
                        <w:rPr>
                          <w:color w:val="1F497D" w:themeColor="text2"/>
                          <w:sz w:val="24"/>
                          <w:szCs w:val="24"/>
                        </w:rPr>
                      </w:pPr>
                    </w:p>
                    <w:p w14:paraId="2FC0093F" w14:textId="527C5CA4" w:rsidR="005B1C9A"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Human Sciences Building Room 706</w:t>
                      </w:r>
                    </w:p>
                    <w:p w14:paraId="2B755C5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0654043"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75F3A6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7B5183F8" w14:textId="77777777" w:rsidR="00293B21" w:rsidRPr="00CF4295" w:rsidRDefault="00293B21" w:rsidP="00CF4295">
                      <w:pPr>
                        <w:pBdr>
                          <w:left w:val="single" w:sz="6" w:space="9" w:color="4F81BD" w:themeColor="accent1"/>
                        </w:pBdr>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Course S</w:t>
                      </w:r>
                      <w:r w:rsidRPr="00CF4295">
                        <w:rPr>
                          <w:rFonts w:asciiTheme="majorHAnsi" w:hAnsiTheme="majorHAnsi"/>
                          <w:b/>
                          <w:color w:val="1F497D" w:themeColor="text2"/>
                          <w:sz w:val="28"/>
                          <w:szCs w:val="28"/>
                        </w:rPr>
                        <w:t>taff</w:t>
                      </w:r>
                    </w:p>
                    <w:p w14:paraId="0140C486"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CBFECDF"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Convenor:</w:t>
                      </w:r>
                    </w:p>
                    <w:p w14:paraId="3F76BA16" w14:textId="50FE03BF" w:rsidR="00293B21"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Prof</w:t>
                      </w:r>
                      <w:r w:rsidR="00037B6D">
                        <w:rPr>
                          <w:color w:val="1F497D" w:themeColor="text2"/>
                          <w:sz w:val="24"/>
                          <w:szCs w:val="24"/>
                        </w:rPr>
                        <w:t xml:space="preserve"> Judith Littleton</w:t>
                      </w:r>
                      <w:r w:rsidR="00037B6D">
                        <w:rPr>
                          <w:color w:val="1F497D" w:themeColor="text2"/>
                          <w:sz w:val="24"/>
                          <w:szCs w:val="24"/>
                        </w:rPr>
                        <w:br/>
                        <w:t>j.littleton@auckland.ac.nz</w:t>
                      </w:r>
                    </w:p>
                    <w:p w14:paraId="48CDBB34" w14:textId="77777777" w:rsidR="00293B21" w:rsidRDefault="00293B21" w:rsidP="00225690">
                      <w:pPr>
                        <w:pBdr>
                          <w:left w:val="single" w:sz="6" w:space="9" w:color="4F81BD" w:themeColor="accent1"/>
                        </w:pBdr>
                        <w:spacing w:after="0" w:line="240" w:lineRule="auto"/>
                        <w:rPr>
                          <w:color w:val="1F497D" w:themeColor="text2"/>
                          <w:sz w:val="24"/>
                          <w:szCs w:val="24"/>
                        </w:rPr>
                      </w:pPr>
                    </w:p>
                    <w:p w14:paraId="07FAE63C" w14:textId="6CE7F4B1" w:rsidR="00490E48" w:rsidRDefault="00490E48"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Office hours: 2-3 Wednesday; 10-11 Friday.</w:t>
                      </w:r>
                    </w:p>
                    <w:p w14:paraId="2C70E695" w14:textId="5CFB3066" w:rsidR="005B1C9A"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Room 722 </w:t>
                      </w:r>
                      <w:r>
                        <w:rPr>
                          <w:color w:val="1F497D" w:themeColor="text2"/>
                          <w:sz w:val="24"/>
                          <w:szCs w:val="24"/>
                        </w:rPr>
                        <w:br/>
                        <w:t>Human Sciences Building</w:t>
                      </w:r>
                    </w:p>
                    <w:p w14:paraId="0D930A34" w14:textId="77777777" w:rsidR="005B1C9A" w:rsidRDefault="005B1C9A" w:rsidP="00225690">
                      <w:pPr>
                        <w:pBdr>
                          <w:left w:val="single" w:sz="6" w:space="9" w:color="4F81BD" w:themeColor="accent1"/>
                        </w:pBdr>
                        <w:spacing w:after="0" w:line="240" w:lineRule="auto"/>
                        <w:rPr>
                          <w:color w:val="1F497D" w:themeColor="text2"/>
                          <w:sz w:val="24"/>
                          <w:szCs w:val="24"/>
                        </w:rPr>
                      </w:pPr>
                    </w:p>
                    <w:p w14:paraId="188F53FD" w14:textId="6E3A1DE4"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w:t>
                      </w:r>
                      <w:r w:rsidR="008E7516">
                        <w:rPr>
                          <w:rFonts w:asciiTheme="majorHAnsi" w:hAnsiTheme="majorHAnsi"/>
                          <w:b/>
                          <w:color w:val="1F497D" w:themeColor="text2"/>
                          <w:sz w:val="24"/>
                          <w:szCs w:val="24"/>
                        </w:rPr>
                        <w:t>s</w:t>
                      </w:r>
                      <w:r w:rsidRPr="00CF4295">
                        <w:rPr>
                          <w:rFonts w:asciiTheme="majorHAnsi" w:hAnsiTheme="majorHAnsi"/>
                          <w:b/>
                          <w:color w:val="1F497D" w:themeColor="text2"/>
                          <w:sz w:val="24"/>
                          <w:szCs w:val="24"/>
                        </w:rPr>
                        <w:t>:</w:t>
                      </w:r>
                    </w:p>
                    <w:p w14:paraId="199C0198" w14:textId="66BC020A" w:rsidR="008E7516" w:rsidRDefault="005B1C9A"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Caitlin Smith</w:t>
                      </w:r>
                    </w:p>
                    <w:p w14:paraId="19A31587" w14:textId="4A041680" w:rsidR="00490E48" w:rsidRDefault="00490E48"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Csmi874@aucklanduni.ac.nz</w:t>
                      </w:r>
                    </w:p>
                    <w:p w14:paraId="0884D8D9" w14:textId="77777777" w:rsidR="00957C35" w:rsidRDefault="00957C35" w:rsidP="00225690">
                      <w:pPr>
                        <w:pBdr>
                          <w:left w:val="single" w:sz="6" w:space="9" w:color="4F81BD" w:themeColor="accent1"/>
                        </w:pBdr>
                        <w:spacing w:after="0" w:line="240" w:lineRule="auto"/>
                        <w:rPr>
                          <w:color w:val="1F497D" w:themeColor="text2"/>
                          <w:sz w:val="24"/>
                          <w:szCs w:val="24"/>
                        </w:rPr>
                      </w:pPr>
                    </w:p>
                  </w:txbxContent>
                </v:textbox>
                <w10:wrap type="square" anchorx="margin" anchory="margin"/>
              </v:rect>
            </w:pict>
          </mc:Fallback>
        </mc:AlternateContent>
      </w:r>
    </w:p>
    <w:p w14:paraId="1DDB0FE4" w14:textId="77777777" w:rsidR="009D271B" w:rsidRPr="008162EB" w:rsidRDefault="009D271B" w:rsidP="009D271B">
      <w:pPr>
        <w:rPr>
          <w:rFonts w:asciiTheme="majorHAnsi" w:hAnsiTheme="majorHAnsi"/>
          <w:b/>
          <w:sz w:val="28"/>
          <w:szCs w:val="28"/>
        </w:rPr>
      </w:pPr>
      <w:r w:rsidRPr="008162EB">
        <w:rPr>
          <w:rFonts w:asciiTheme="majorHAnsi" w:hAnsiTheme="majorHAnsi"/>
          <w:b/>
          <w:sz w:val="28"/>
          <w:szCs w:val="28"/>
        </w:rPr>
        <w:t>Course description</w:t>
      </w:r>
    </w:p>
    <w:p w14:paraId="4742BE5C" w14:textId="51FF5590" w:rsidR="005B1C9A" w:rsidRPr="00CB2B57" w:rsidRDefault="005B1C9A" w:rsidP="005B1C9A">
      <w:pPr>
        <w:ind w:right="567"/>
        <w:rPr>
          <w:rFonts w:ascii="Palatino" w:hAnsi="Palatino"/>
          <w:bCs/>
        </w:rPr>
      </w:pPr>
      <w:r w:rsidRPr="005B1C9A">
        <w:rPr>
          <w:rFonts w:ascii="Palatino" w:hAnsi="Palatino"/>
          <w:bCs/>
        </w:rPr>
        <w:t xml:space="preserve"> </w:t>
      </w:r>
      <w:r>
        <w:rPr>
          <w:rFonts w:ascii="Palatino" w:hAnsi="Palatino"/>
          <w:bCs/>
        </w:rPr>
        <w:t>Human remains reflect the lives of the dead as well as the lives of those who buried them.  In this course you will be introduced to the various ways in which we study the dead.  The course will cover three areas: the interpretation of mortuary practices, the interpretation of past lives from human remains, and the practice of burial archaeology in the southern hemisphere.  The course explicitly focuses on the cross-over between biological anthropology and archaeology, so you will be introduced to the relevance of the two sub-disciplines for each other.  In addition we will discuss archaeological practice, particularly in relation to this part of the world.</w:t>
      </w:r>
    </w:p>
    <w:p w14:paraId="668DBA58" w14:textId="77777777" w:rsidR="005B1C9A" w:rsidRPr="00CB2B57" w:rsidRDefault="005E4C58" w:rsidP="005B1C9A">
      <w:pPr>
        <w:ind w:right="567"/>
        <w:rPr>
          <w:rFonts w:ascii="Palatino" w:hAnsi="Palatino"/>
          <w:bCs/>
        </w:rPr>
      </w:pPr>
      <w:r>
        <w:rPr>
          <w:rFonts w:ascii="Palatino" w:hAnsi="Palatino"/>
          <w:noProof/>
        </w:rPr>
        <w:pict w14:anchorId="1A3C5781">
          <v:rect id="_x0000_i1025" alt="" style="width:453.8pt;height:.05pt;mso-width-percent:0;mso-height-percent:0;mso-width-percent:0;mso-height-percent:0" o:hrpct="926" o:hralign="center" o:hrstd="t" o:hr="t" fillcolor="#aaa" stroked="f"/>
        </w:pict>
      </w:r>
    </w:p>
    <w:p w14:paraId="1BFA6978" w14:textId="42703638" w:rsidR="005B1C9A" w:rsidRPr="00CB2B57" w:rsidRDefault="00BD016D" w:rsidP="005B1C9A">
      <w:pPr>
        <w:ind w:right="567"/>
        <w:rPr>
          <w:rFonts w:ascii="Palatino" w:hAnsi="Palatino"/>
          <w:bCs/>
        </w:rPr>
      </w:pPr>
      <w:r>
        <w:rPr>
          <w:noProof/>
          <w:lang w:eastAsia="en-NZ"/>
        </w:rPr>
        <w:drawing>
          <wp:inline distT="0" distB="0" distL="0" distR="0" wp14:anchorId="0D1D3833" wp14:editId="47F212B5">
            <wp:extent cx="3504351" cy="2390503"/>
            <wp:effectExtent l="0" t="0" r="127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398" cy="2408271"/>
                    </a:xfrm>
                    <a:prstGeom prst="rect">
                      <a:avLst/>
                    </a:prstGeom>
                    <a:noFill/>
                    <a:ln>
                      <a:noFill/>
                    </a:ln>
                  </pic:spPr>
                </pic:pic>
              </a:graphicData>
            </a:graphic>
          </wp:inline>
        </w:drawing>
      </w:r>
    </w:p>
    <w:p w14:paraId="77FD6BC0" w14:textId="7163BC51" w:rsidR="009D271B" w:rsidRDefault="009D271B" w:rsidP="009D271B">
      <w:pPr>
        <w:jc w:val="both"/>
      </w:pPr>
      <w:r w:rsidRPr="00C50952">
        <w:t>.</w:t>
      </w:r>
    </w:p>
    <w:p w14:paraId="501BA15B" w14:textId="4B8247E2" w:rsidR="009D271B" w:rsidRDefault="009D271B" w:rsidP="009D271B">
      <w:pPr>
        <w:jc w:val="both"/>
      </w:pPr>
      <w:r>
        <w:t xml:space="preserve"> </w:t>
      </w:r>
      <w:r>
        <w:br w:type="page"/>
      </w:r>
    </w:p>
    <w:p w14:paraId="66CCDA1D" w14:textId="77777777" w:rsidR="00D302FE" w:rsidRDefault="00D302FE">
      <w:pPr>
        <w:sectPr w:rsidR="00D302FE" w:rsidSect="00BF3AFD">
          <w:footerReference w:type="default" r:id="rId9"/>
          <w:pgSz w:w="11906" w:h="16838"/>
          <w:pgMar w:top="1134" w:right="1134" w:bottom="1134" w:left="1134" w:header="709" w:footer="709" w:gutter="0"/>
          <w:cols w:space="708"/>
          <w:docGrid w:linePitch="360"/>
        </w:sectPr>
      </w:pPr>
    </w:p>
    <w:p w14:paraId="5D12ACA1" w14:textId="77777777" w:rsidR="00996744" w:rsidRPr="00BF3AFD" w:rsidRDefault="00996744">
      <w:pPr>
        <w:rPr>
          <w:rFonts w:asciiTheme="majorHAnsi" w:hAnsiTheme="majorHAnsi"/>
          <w:b/>
          <w:sz w:val="28"/>
          <w:szCs w:val="28"/>
        </w:rPr>
      </w:pPr>
      <w:r w:rsidRPr="00BF3AFD">
        <w:rPr>
          <w:rFonts w:asciiTheme="majorHAnsi" w:hAnsiTheme="majorHAnsi"/>
          <w:b/>
          <w:sz w:val="28"/>
          <w:szCs w:val="28"/>
        </w:rPr>
        <w:lastRenderedPageBreak/>
        <w:t>Course Aims</w:t>
      </w:r>
    </w:p>
    <w:p w14:paraId="30758936" w14:textId="77777777" w:rsidR="00996744" w:rsidRDefault="00996744" w:rsidP="00BF3AFD">
      <w:pPr>
        <w:jc w:val="both"/>
      </w:pPr>
      <w:r>
        <w:t>In this course we aim to:</w:t>
      </w:r>
    </w:p>
    <w:p w14:paraId="79F7896B" w14:textId="77777777" w:rsidR="00CB2512" w:rsidRDefault="00490E48" w:rsidP="00CB2512">
      <w:pPr>
        <w:pStyle w:val="ListParagraph"/>
        <w:numPr>
          <w:ilvl w:val="0"/>
          <w:numId w:val="6"/>
        </w:numPr>
      </w:pPr>
      <w:r>
        <w:t>Introduce you to the area of bioarchaeology and the analysis of both human and mortuary remains;</w:t>
      </w:r>
    </w:p>
    <w:p w14:paraId="2C6CB761" w14:textId="77777777" w:rsidR="00CB2512" w:rsidRDefault="00490E48" w:rsidP="00CB2512">
      <w:pPr>
        <w:pStyle w:val="ListParagraph"/>
        <w:numPr>
          <w:ilvl w:val="0"/>
          <w:numId w:val="6"/>
        </w:numPr>
      </w:pPr>
      <w:r>
        <w:t>Give you an opportunity to undertake analysis in this area;</w:t>
      </w:r>
    </w:p>
    <w:p w14:paraId="4CC8EB22" w14:textId="77777777" w:rsidR="00CB2512" w:rsidRDefault="00490E48" w:rsidP="00CB2512">
      <w:pPr>
        <w:pStyle w:val="ListParagraph"/>
        <w:numPr>
          <w:ilvl w:val="0"/>
          <w:numId w:val="6"/>
        </w:numPr>
      </w:pPr>
      <w:r>
        <w:t>Demonstrate how different research questions and theoretical perspectives lead to different outcomes;</w:t>
      </w:r>
    </w:p>
    <w:p w14:paraId="73F1BB8D" w14:textId="0DF87FA8" w:rsidR="00490E48" w:rsidRDefault="00490E48" w:rsidP="00CB2512">
      <w:pPr>
        <w:pStyle w:val="ListParagraph"/>
        <w:numPr>
          <w:ilvl w:val="0"/>
          <w:numId w:val="6"/>
        </w:numPr>
      </w:pPr>
      <w:r>
        <w:t xml:space="preserve">Understand how assumptions underlie different analyses and learn how to identify them. </w:t>
      </w:r>
    </w:p>
    <w:p w14:paraId="20F97573" w14:textId="77777777" w:rsidR="005B1C9A" w:rsidRPr="00CB2B57" w:rsidRDefault="005B1C9A" w:rsidP="005B1C9A">
      <w:pPr>
        <w:ind w:right="567"/>
        <w:rPr>
          <w:rFonts w:ascii="Palatino" w:hAnsi="Palatino"/>
          <w:bCs/>
        </w:rPr>
      </w:pPr>
      <w:r w:rsidRPr="00CB2B57">
        <w:rPr>
          <w:rFonts w:ascii="Palatino" w:hAnsi="Palatino"/>
          <w:b/>
          <w:bCs/>
        </w:rPr>
        <w:t xml:space="preserve">Learning Objectives: </w:t>
      </w:r>
      <w:r w:rsidRPr="00CB2B57">
        <w:rPr>
          <w:rFonts w:ascii="Palatino" w:hAnsi="Palatino"/>
          <w:bCs/>
        </w:rPr>
        <w:t xml:space="preserve">By the end of this course, you will be equipped with the tools to: </w:t>
      </w:r>
    </w:p>
    <w:p w14:paraId="1D1B8071" w14:textId="77777777" w:rsidR="005B1C9A" w:rsidRPr="00CB2B57" w:rsidRDefault="005B1C9A" w:rsidP="005B1C9A">
      <w:pPr>
        <w:numPr>
          <w:ilvl w:val="0"/>
          <w:numId w:val="4"/>
        </w:numPr>
        <w:spacing w:after="0" w:line="240" w:lineRule="auto"/>
        <w:ind w:right="567"/>
        <w:rPr>
          <w:rFonts w:ascii="Palatino" w:hAnsi="Palatino"/>
          <w:bCs/>
        </w:rPr>
      </w:pPr>
      <w:r w:rsidRPr="00CB2B57">
        <w:rPr>
          <w:rFonts w:ascii="Palatino" w:hAnsi="Palatino"/>
          <w:bCs/>
        </w:rPr>
        <w:t xml:space="preserve">Understand </w:t>
      </w:r>
      <w:r>
        <w:rPr>
          <w:rFonts w:ascii="Palatino" w:hAnsi="Palatino"/>
          <w:bCs/>
        </w:rPr>
        <w:t>the limitations and promises of the analysis of human remains</w:t>
      </w:r>
      <w:r w:rsidRPr="00CB2B57">
        <w:rPr>
          <w:rFonts w:ascii="Palatino" w:hAnsi="Palatino"/>
          <w:bCs/>
        </w:rPr>
        <w:t>;</w:t>
      </w:r>
    </w:p>
    <w:p w14:paraId="431B235A" w14:textId="77777777" w:rsidR="005B1C9A" w:rsidRPr="00CB2B57" w:rsidRDefault="005B1C9A" w:rsidP="005B1C9A">
      <w:pPr>
        <w:numPr>
          <w:ilvl w:val="0"/>
          <w:numId w:val="4"/>
        </w:numPr>
        <w:spacing w:after="0" w:line="240" w:lineRule="auto"/>
        <w:ind w:right="567"/>
        <w:rPr>
          <w:rFonts w:ascii="Palatino" w:hAnsi="Palatino"/>
          <w:bCs/>
        </w:rPr>
      </w:pPr>
      <w:r>
        <w:rPr>
          <w:rFonts w:ascii="Palatino" w:hAnsi="Palatino"/>
          <w:bCs/>
        </w:rPr>
        <w:t xml:space="preserve">Thoughtfully evaluate human bioarchaeological analyses; </w:t>
      </w:r>
    </w:p>
    <w:p w14:paraId="0328054C" w14:textId="77777777" w:rsidR="005B1C9A" w:rsidRDefault="005B1C9A" w:rsidP="005B1C9A">
      <w:pPr>
        <w:numPr>
          <w:ilvl w:val="0"/>
          <w:numId w:val="4"/>
        </w:numPr>
        <w:spacing w:after="0" w:line="240" w:lineRule="auto"/>
        <w:ind w:right="567"/>
        <w:rPr>
          <w:rFonts w:ascii="Palatino" w:hAnsi="Palatino"/>
          <w:bCs/>
        </w:rPr>
      </w:pPr>
      <w:r>
        <w:rPr>
          <w:rFonts w:ascii="Palatino" w:hAnsi="Palatino"/>
          <w:bCs/>
        </w:rPr>
        <w:t xml:space="preserve">Identify the first principles of analysis of human remains within an archaeological context; </w:t>
      </w:r>
    </w:p>
    <w:p w14:paraId="315FE0AB" w14:textId="77777777" w:rsidR="005B1C9A" w:rsidRPr="00CB2B57" w:rsidRDefault="005B1C9A" w:rsidP="005B1C9A">
      <w:pPr>
        <w:numPr>
          <w:ilvl w:val="0"/>
          <w:numId w:val="4"/>
        </w:numPr>
        <w:spacing w:after="0" w:line="240" w:lineRule="auto"/>
        <w:ind w:right="567"/>
        <w:rPr>
          <w:rFonts w:ascii="Palatino" w:hAnsi="Palatino"/>
          <w:bCs/>
        </w:rPr>
      </w:pPr>
      <w:r>
        <w:rPr>
          <w:rFonts w:ascii="Palatino" w:hAnsi="Palatino"/>
          <w:bCs/>
        </w:rPr>
        <w:t>Identify what constitutes best practice in relation to human remains;</w:t>
      </w:r>
    </w:p>
    <w:p w14:paraId="463AD278" w14:textId="77777777" w:rsidR="005B1C9A" w:rsidRPr="00CB2B57" w:rsidRDefault="005B1C9A" w:rsidP="005B1C9A">
      <w:pPr>
        <w:numPr>
          <w:ilvl w:val="0"/>
          <w:numId w:val="4"/>
        </w:numPr>
        <w:spacing w:after="0" w:line="240" w:lineRule="auto"/>
        <w:ind w:right="567"/>
        <w:rPr>
          <w:rFonts w:ascii="Palatino" w:hAnsi="Palatino"/>
          <w:bCs/>
        </w:rPr>
      </w:pPr>
      <w:r w:rsidRPr="00CB2B57">
        <w:rPr>
          <w:rFonts w:ascii="Palatino" w:hAnsi="Palatino"/>
          <w:bCs/>
        </w:rPr>
        <w:t>Master and demonstrate basic research skills; and</w:t>
      </w:r>
    </w:p>
    <w:p w14:paraId="59A927F9" w14:textId="77777777" w:rsidR="005B1C9A" w:rsidRDefault="005B1C9A" w:rsidP="005B1C9A">
      <w:pPr>
        <w:numPr>
          <w:ilvl w:val="0"/>
          <w:numId w:val="4"/>
        </w:numPr>
        <w:spacing w:after="0" w:line="240" w:lineRule="auto"/>
        <w:ind w:right="567"/>
        <w:rPr>
          <w:rFonts w:ascii="Palatino" w:hAnsi="Palatino"/>
          <w:bCs/>
        </w:rPr>
      </w:pPr>
      <w:r w:rsidRPr="00CB2B57">
        <w:rPr>
          <w:rFonts w:ascii="Palatino" w:hAnsi="Palatino"/>
          <w:bCs/>
        </w:rPr>
        <w:t>Write coherent explanations of research and concepts relevant to course content.</w:t>
      </w:r>
    </w:p>
    <w:p w14:paraId="5E4F217E" w14:textId="77777777" w:rsidR="00490E48" w:rsidRDefault="00490E48" w:rsidP="00490E48">
      <w:pPr>
        <w:spacing w:after="0" w:line="240" w:lineRule="auto"/>
        <w:ind w:right="567"/>
        <w:rPr>
          <w:rFonts w:ascii="Palatino" w:hAnsi="Palatino"/>
          <w:bCs/>
        </w:rPr>
      </w:pPr>
    </w:p>
    <w:p w14:paraId="09DBDAA4" w14:textId="77777777" w:rsidR="00CB2512" w:rsidRDefault="00490E48" w:rsidP="00490E48">
      <w:pPr>
        <w:spacing w:after="0" w:line="240" w:lineRule="auto"/>
        <w:ind w:right="567"/>
        <w:rPr>
          <w:rFonts w:ascii="Palatino" w:hAnsi="Palatino"/>
          <w:b/>
          <w:bCs/>
        </w:rPr>
      </w:pPr>
      <w:r w:rsidRPr="00CB2512">
        <w:rPr>
          <w:rFonts w:ascii="Palatino" w:hAnsi="Palatino"/>
          <w:b/>
          <w:bCs/>
        </w:rPr>
        <w:t>Employability:</w:t>
      </w:r>
    </w:p>
    <w:p w14:paraId="6CC9D6FF" w14:textId="3EE1B8FA" w:rsidR="00CB2512" w:rsidRDefault="00CB2512" w:rsidP="00490E48">
      <w:pPr>
        <w:spacing w:after="0" w:line="240" w:lineRule="auto"/>
        <w:ind w:right="567"/>
        <w:rPr>
          <w:rFonts w:ascii="Palatino" w:hAnsi="Palatino"/>
          <w:bCs/>
        </w:rPr>
      </w:pPr>
      <w:r w:rsidRPr="00CB2512">
        <w:rPr>
          <w:rFonts w:ascii="Palatino" w:hAnsi="Palatino"/>
          <w:bCs/>
          <w:u w:val="single"/>
        </w:rPr>
        <w:t>Able to analyse</w:t>
      </w:r>
      <w:r>
        <w:rPr>
          <w:rFonts w:ascii="Palatino" w:hAnsi="Palatino"/>
          <w:bCs/>
        </w:rPr>
        <w:t xml:space="preserve"> – undertaking independent research, identifying and using theoretical frameworks and concepts.</w:t>
      </w:r>
    </w:p>
    <w:p w14:paraId="442A16D8" w14:textId="0D89713D" w:rsidR="00490E48" w:rsidRDefault="00CB2512" w:rsidP="00490E48">
      <w:pPr>
        <w:spacing w:after="0" w:line="240" w:lineRule="auto"/>
        <w:ind w:right="567"/>
        <w:rPr>
          <w:rFonts w:ascii="Palatino" w:hAnsi="Palatino"/>
          <w:bCs/>
        </w:rPr>
      </w:pPr>
      <w:r w:rsidRPr="00CB2512">
        <w:rPr>
          <w:rFonts w:ascii="Palatino" w:hAnsi="Palatino"/>
          <w:bCs/>
          <w:u w:val="single"/>
        </w:rPr>
        <w:t>Practical skills for cultural resource management and archaeology</w:t>
      </w:r>
      <w:r>
        <w:rPr>
          <w:rFonts w:ascii="Palatino" w:hAnsi="Palatino"/>
          <w:bCs/>
        </w:rPr>
        <w:t xml:space="preserve"> – including appreciation of legislation, ethics, and the excavation and recording of burials and human remains.</w:t>
      </w:r>
    </w:p>
    <w:p w14:paraId="74822B0E" w14:textId="38B2DA4C" w:rsidR="00CB2512" w:rsidRDefault="00CB2512" w:rsidP="00490E48">
      <w:pPr>
        <w:spacing w:after="0" w:line="240" w:lineRule="auto"/>
        <w:ind w:right="567"/>
        <w:rPr>
          <w:rFonts w:ascii="Palatino" w:hAnsi="Palatino"/>
          <w:bCs/>
        </w:rPr>
      </w:pPr>
      <w:r w:rsidRPr="00CB2512">
        <w:rPr>
          <w:rFonts w:ascii="Palatino" w:hAnsi="Palatino"/>
          <w:bCs/>
          <w:u w:val="single"/>
        </w:rPr>
        <w:t>Communication skills</w:t>
      </w:r>
      <w:r>
        <w:rPr>
          <w:rFonts w:ascii="Palatino" w:hAnsi="Palatino"/>
          <w:bCs/>
        </w:rPr>
        <w:t xml:space="preserve">: presenting work in an oral and written format </w:t>
      </w:r>
      <w:proofErr w:type="spellStart"/>
      <w:r>
        <w:rPr>
          <w:rFonts w:ascii="Palatino" w:hAnsi="Palatino"/>
          <w:bCs/>
        </w:rPr>
        <w:t>conscisely</w:t>
      </w:r>
      <w:proofErr w:type="spellEnd"/>
      <w:r>
        <w:rPr>
          <w:rFonts w:ascii="Palatino" w:hAnsi="Palatino"/>
          <w:bCs/>
        </w:rPr>
        <w:t xml:space="preserve"> and accurately; able to debate sensitive issues</w:t>
      </w:r>
    </w:p>
    <w:p w14:paraId="21BF086C" w14:textId="4BB1B0D4" w:rsidR="00CB2512" w:rsidRDefault="00CB2512" w:rsidP="00490E48">
      <w:pPr>
        <w:spacing w:after="0" w:line="240" w:lineRule="auto"/>
        <w:ind w:right="567"/>
        <w:rPr>
          <w:rFonts w:ascii="Palatino" w:hAnsi="Palatino"/>
          <w:bCs/>
        </w:rPr>
      </w:pPr>
      <w:r w:rsidRPr="00CB2512">
        <w:rPr>
          <w:rFonts w:ascii="Palatino" w:hAnsi="Palatino"/>
          <w:bCs/>
          <w:u w:val="single"/>
        </w:rPr>
        <w:t>Social and environmental skills</w:t>
      </w:r>
      <w:r>
        <w:rPr>
          <w:rFonts w:ascii="Palatino" w:hAnsi="Palatino"/>
          <w:bCs/>
        </w:rPr>
        <w:t xml:space="preserve">: awareness of ethical issues and the multiple responsibilities of a researcher, cultural sensitivity. </w:t>
      </w:r>
    </w:p>
    <w:p w14:paraId="67BE6083" w14:textId="77777777" w:rsidR="00CB2512" w:rsidRPr="00CB2512" w:rsidRDefault="00CB2512" w:rsidP="00490E48">
      <w:pPr>
        <w:spacing w:after="0" w:line="240" w:lineRule="auto"/>
        <w:ind w:right="567"/>
        <w:rPr>
          <w:rFonts w:ascii="Palatino" w:hAnsi="Palatino"/>
          <w:b/>
          <w:bCs/>
        </w:rPr>
      </w:pPr>
    </w:p>
    <w:p w14:paraId="74691F27" w14:textId="496F6841" w:rsidR="00BF3AFD" w:rsidRDefault="005E4C58" w:rsidP="005B1C9A">
      <w:r>
        <w:rPr>
          <w:rFonts w:ascii="Palatino" w:hAnsi="Palatino"/>
          <w:noProof/>
        </w:rPr>
        <w:pict w14:anchorId="7315A8CB">
          <v:rect id="_x0000_i1026" alt="" style="width:518.4pt;height:.05pt;mso-width-percent:0;mso-height-percent:0;mso-width-percent:0;mso-height-percent:0" o:hralign="center" o:hrstd="t" o:hr="t" fillcolor="#aaa" stroked="f"/>
        </w:pict>
      </w:r>
      <w:r w:rsidR="001C79D7">
        <w:rPr>
          <w:noProof/>
          <w:szCs w:val="56"/>
          <w:lang w:eastAsia="en-NZ"/>
        </w:rPr>
        <mc:AlternateContent>
          <mc:Choice Requires="wps">
            <w:drawing>
              <wp:anchor distT="0" distB="0" distL="457200" distR="114300" simplePos="0" relativeHeight="251663360" behindDoc="0" locked="0" layoutInCell="0" allowOverlap="1" wp14:anchorId="12AF9514" wp14:editId="74F6E892">
                <wp:simplePos x="0" y="0"/>
                <wp:positionH relativeFrom="margin">
                  <wp:posOffset>-47625</wp:posOffset>
                </wp:positionH>
                <wp:positionV relativeFrom="margin">
                  <wp:posOffset>7338060</wp:posOffset>
                </wp:positionV>
                <wp:extent cx="6196330" cy="1333500"/>
                <wp:effectExtent l="0" t="0" r="13970" b="1905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1333500"/>
                        </a:xfrm>
                        <a:prstGeom prst="rect">
                          <a:avLst/>
                        </a:prstGeom>
                        <a:noFill/>
                        <a:ln w="15875">
                          <a:solidFill>
                            <a:schemeClr val="accent1"/>
                          </a:solidFill>
                        </a:ln>
                        <a:extLst/>
                      </wps:spPr>
                      <wps:style>
                        <a:lnRef idx="0">
                          <a:scrgbClr r="0" g="0" b="0"/>
                        </a:lnRef>
                        <a:fillRef idx="1003">
                          <a:schemeClr val="lt1"/>
                        </a:fillRef>
                        <a:effectRef idx="0">
                          <a:scrgbClr r="0" g="0" b="0"/>
                        </a:effectRef>
                        <a:fontRef idx="major"/>
                      </wps:style>
                      <wps:txbx>
                        <w:txbxContent>
                          <w:p w14:paraId="28448E89" w14:textId="77777777" w:rsidR="00293B21" w:rsidRDefault="00293B21">
                            <w:pPr>
                              <w:pStyle w:val="Heading1"/>
                              <w:pBdr>
                                <w:left w:val="single" w:sz="6" w:space="9" w:color="4F81BD" w:themeColor="accent1"/>
                              </w:pBdr>
                              <w:spacing w:before="0" w:after="240"/>
                              <w:rPr>
                                <w:color w:val="1F497D" w:themeColor="text2"/>
                              </w:rPr>
                            </w:pPr>
                            <w:r>
                              <w:rPr>
                                <w:color w:val="1F497D" w:themeColor="text2"/>
                              </w:rPr>
                              <w:t>Course Texts</w:t>
                            </w:r>
                          </w:p>
                          <w:p w14:paraId="12C7C1B9" w14:textId="679E9102" w:rsidR="00293B21" w:rsidRPr="00BF3AFD"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Recommended: </w:t>
                            </w:r>
                            <w:r>
                              <w:rPr>
                                <w:color w:val="1F497D" w:themeColor="text2"/>
                                <w:sz w:val="24"/>
                                <w:szCs w:val="24"/>
                              </w:rPr>
                              <w:t xml:space="preserve">For each lecture there are </w:t>
                            </w:r>
                            <w:r w:rsidR="00BD016D">
                              <w:rPr>
                                <w:color w:val="1F497D" w:themeColor="text2"/>
                                <w:sz w:val="24"/>
                                <w:szCs w:val="24"/>
                              </w:rPr>
                              <w:t>two articles</w:t>
                            </w:r>
                            <w:r>
                              <w:rPr>
                                <w:color w:val="1F497D" w:themeColor="text2"/>
                                <w:sz w:val="24"/>
                                <w:szCs w:val="24"/>
                              </w:rPr>
                              <w:t xml:space="preserve"> for you to read to </w:t>
                            </w:r>
                            <w:r w:rsidR="00BD016D">
                              <w:rPr>
                                <w:color w:val="1F497D" w:themeColor="text2"/>
                                <w:sz w:val="24"/>
                                <w:szCs w:val="24"/>
                              </w:rPr>
                              <w:t>have a background in the topic</w:t>
                            </w:r>
                            <w:r>
                              <w:rPr>
                                <w:color w:val="1F497D" w:themeColor="text2"/>
                                <w:sz w:val="24"/>
                                <w:szCs w:val="24"/>
                              </w:rPr>
                              <w:t xml:space="preserve">. </w:t>
                            </w:r>
                            <w:r w:rsidR="000013E9">
                              <w:rPr>
                                <w:color w:val="1F497D" w:themeColor="text2"/>
                                <w:sz w:val="24"/>
                                <w:szCs w:val="24"/>
                              </w:rPr>
                              <w:t xml:space="preserve">There is also an additional reading you might be interested in (in italics). </w:t>
                            </w:r>
                            <w:r>
                              <w:rPr>
                                <w:color w:val="1F497D" w:themeColor="text2"/>
                                <w:sz w:val="24"/>
                                <w:szCs w:val="24"/>
                              </w:rPr>
                              <w:t>These are available through links on Canvas.</w:t>
                            </w:r>
                            <w:r w:rsidR="00BD016D">
                              <w:rPr>
                                <w:color w:val="1F497D" w:themeColor="text2"/>
                                <w:sz w:val="24"/>
                                <w:szCs w:val="24"/>
                              </w:rPr>
                              <w:t xml:space="preserve"> We expect you to do these readings prior to class and to quickly revise them after class.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AF9514" id="_x0000_s1027" style="position:absolute;margin-left:-3.75pt;margin-top:577.8pt;width:487.9pt;height:105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" o:allowincell="f" filled="f" strokecolor="#4f81bd [3204]" strokeweight="1.25pt">
                <v:textbox inset=",7.2pt,,7.2pt">
                  <w:txbxContent>
                    <w:p w14:paraId="28448E89" w14:textId="77777777" w:rsidR="00293B21" w:rsidRDefault="00293B21">
                      <w:pPr>
                        <w:pStyle w:val="Heading1"/>
                        <w:pBdr>
                          <w:left w:val="single" w:sz="6" w:space="9" w:color="4F81BD" w:themeColor="accent1"/>
                        </w:pBdr>
                        <w:spacing w:before="0" w:after="240"/>
                        <w:rPr>
                          <w:color w:val="1F497D" w:themeColor="text2"/>
                        </w:rPr>
                      </w:pPr>
                      <w:r>
                        <w:rPr>
                          <w:color w:val="1F497D" w:themeColor="text2"/>
                        </w:rPr>
                        <w:t>Course Texts</w:t>
                      </w:r>
                    </w:p>
                    <w:p w14:paraId="12C7C1B9" w14:textId="679E9102" w:rsidR="00293B21" w:rsidRPr="00BF3AFD"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Recommended: </w:t>
                      </w:r>
                      <w:r>
                        <w:rPr>
                          <w:color w:val="1F497D" w:themeColor="text2"/>
                          <w:sz w:val="24"/>
                          <w:szCs w:val="24"/>
                        </w:rPr>
                        <w:t xml:space="preserve">For each lecture there are </w:t>
                      </w:r>
                      <w:r w:rsidR="00BD016D">
                        <w:rPr>
                          <w:color w:val="1F497D" w:themeColor="text2"/>
                          <w:sz w:val="24"/>
                          <w:szCs w:val="24"/>
                        </w:rPr>
                        <w:t>two articles</w:t>
                      </w:r>
                      <w:r>
                        <w:rPr>
                          <w:color w:val="1F497D" w:themeColor="text2"/>
                          <w:sz w:val="24"/>
                          <w:szCs w:val="24"/>
                        </w:rPr>
                        <w:t xml:space="preserve"> for you to read to </w:t>
                      </w:r>
                      <w:r w:rsidR="00BD016D">
                        <w:rPr>
                          <w:color w:val="1F497D" w:themeColor="text2"/>
                          <w:sz w:val="24"/>
                          <w:szCs w:val="24"/>
                        </w:rPr>
                        <w:t>have a background in the topic</w:t>
                      </w:r>
                      <w:r>
                        <w:rPr>
                          <w:color w:val="1F497D" w:themeColor="text2"/>
                          <w:sz w:val="24"/>
                          <w:szCs w:val="24"/>
                        </w:rPr>
                        <w:t xml:space="preserve">. </w:t>
                      </w:r>
                      <w:r w:rsidR="000013E9">
                        <w:rPr>
                          <w:color w:val="1F497D" w:themeColor="text2"/>
                          <w:sz w:val="24"/>
                          <w:szCs w:val="24"/>
                        </w:rPr>
                        <w:t xml:space="preserve">There is also an additional reading you might be interested in (in italics). </w:t>
                      </w:r>
                      <w:r>
                        <w:rPr>
                          <w:color w:val="1F497D" w:themeColor="text2"/>
                          <w:sz w:val="24"/>
                          <w:szCs w:val="24"/>
                        </w:rPr>
                        <w:t>These are available through links on Canvas.</w:t>
                      </w:r>
                      <w:r w:rsidR="00BD016D">
                        <w:rPr>
                          <w:color w:val="1F497D" w:themeColor="text2"/>
                          <w:sz w:val="24"/>
                          <w:szCs w:val="24"/>
                        </w:rPr>
                        <w:t xml:space="preserve"> We expect you to do these readings prior to class and to quickly revise them after class. </w:t>
                      </w:r>
                    </w:p>
                  </w:txbxContent>
                </v:textbox>
                <w10:wrap type="square" anchorx="margin" anchory="margin"/>
              </v:rect>
            </w:pict>
          </mc:Fallback>
        </mc:AlternateContent>
      </w:r>
      <w:r w:rsidR="00BF3AFD">
        <w:br w:type="page"/>
      </w:r>
    </w:p>
    <w:p w14:paraId="46B0876B" w14:textId="77777777" w:rsidR="00BD016D" w:rsidRDefault="00BD016D" w:rsidP="00BD016D">
      <w:pPr>
        <w:ind w:right="567"/>
        <w:rPr>
          <w:rFonts w:ascii="Palatino" w:hAnsi="Palatino"/>
          <w:b/>
          <w:bCs/>
          <w:lang w:val="en-AU"/>
        </w:rPr>
      </w:pPr>
      <w:r w:rsidRPr="00CB2B57">
        <w:rPr>
          <w:rFonts w:ascii="Palatino" w:hAnsi="Palatino"/>
          <w:b/>
          <w:bCs/>
          <w:lang w:val="en-AU"/>
        </w:rPr>
        <w:lastRenderedPageBreak/>
        <w:t xml:space="preserve">Course Requirements: </w:t>
      </w:r>
    </w:p>
    <w:p w14:paraId="1C07B509" w14:textId="7D4800F7" w:rsidR="00BD016D" w:rsidRDefault="00BD016D" w:rsidP="00BD016D">
      <w:pPr>
        <w:ind w:right="567"/>
        <w:rPr>
          <w:rFonts w:ascii="Palatino" w:hAnsi="Palatino"/>
          <w:bCs/>
          <w:lang w:val="en-AU"/>
        </w:rPr>
      </w:pPr>
      <w:r w:rsidRPr="00CB2B57">
        <w:rPr>
          <w:rFonts w:ascii="Palatino" w:hAnsi="Palatino"/>
          <w:bCs/>
          <w:i/>
          <w:lang w:val="en-AU"/>
        </w:rPr>
        <w:t>Lectures</w:t>
      </w:r>
      <w:r w:rsidRPr="00CB2B57">
        <w:rPr>
          <w:rFonts w:ascii="Palatino" w:hAnsi="Palatino"/>
          <w:bCs/>
          <w:lang w:val="en-AU"/>
        </w:rPr>
        <w:t xml:space="preserve"> will be the primary learning venue for this course. Attendance at lectures is not required but is strongly advised, as material from lectures may not be reproduced elsewhere and may be included in course examinations. You are required to enrol in a </w:t>
      </w:r>
      <w:r>
        <w:rPr>
          <w:rFonts w:ascii="Palatino" w:hAnsi="Palatino"/>
          <w:bCs/>
          <w:i/>
          <w:lang w:val="en-AU"/>
        </w:rPr>
        <w:t xml:space="preserve">lab stream – </w:t>
      </w:r>
      <w:r>
        <w:rPr>
          <w:rFonts w:ascii="Palatino" w:hAnsi="Palatino"/>
          <w:bCs/>
          <w:lang w:val="en-AU"/>
        </w:rPr>
        <w:t>these labs are held weekly and will involve you undertaking a set of practical tasks related to burial archaeology and human remains.</w:t>
      </w:r>
      <w:r w:rsidRPr="00CB2B57">
        <w:rPr>
          <w:rFonts w:ascii="Palatino" w:hAnsi="Palatino"/>
          <w:bCs/>
          <w:lang w:val="en-AU"/>
        </w:rPr>
        <w:t xml:space="preserve"> </w:t>
      </w:r>
    </w:p>
    <w:p w14:paraId="6EB8E472" w14:textId="02CADDE9" w:rsidR="00BD016D" w:rsidRPr="00CB2B57" w:rsidRDefault="00BD016D" w:rsidP="00BD016D">
      <w:pPr>
        <w:ind w:right="567"/>
        <w:rPr>
          <w:rFonts w:ascii="Palatino" w:hAnsi="Palatino"/>
          <w:bCs/>
          <w:lang w:val="en-AU"/>
        </w:rPr>
      </w:pPr>
      <w:r w:rsidRPr="00CB2B57">
        <w:rPr>
          <w:rFonts w:ascii="Palatino" w:hAnsi="Palatino"/>
          <w:bCs/>
          <w:lang w:val="en-AU"/>
        </w:rPr>
        <w:t xml:space="preserve">Assigned </w:t>
      </w:r>
      <w:r w:rsidRPr="00CB2B57">
        <w:rPr>
          <w:rFonts w:ascii="Palatino" w:hAnsi="Palatino"/>
          <w:bCs/>
          <w:i/>
          <w:lang w:val="en-AU"/>
        </w:rPr>
        <w:t>readings</w:t>
      </w:r>
      <w:r w:rsidRPr="00CB2B57">
        <w:rPr>
          <w:rFonts w:ascii="Palatino" w:hAnsi="Palatino"/>
          <w:bCs/>
          <w:lang w:val="en-AU"/>
        </w:rPr>
        <w:t xml:space="preserve"> are required, unless otherwise noted, and should be completed prior to the day for which they are assigned. All </w:t>
      </w:r>
      <w:r w:rsidRPr="00914D4F">
        <w:rPr>
          <w:rFonts w:ascii="Palatino" w:hAnsi="Palatino"/>
          <w:bCs/>
          <w:i/>
          <w:lang w:val="en-AU"/>
        </w:rPr>
        <w:t>tests</w:t>
      </w:r>
      <w:r>
        <w:rPr>
          <w:rFonts w:ascii="Palatino" w:hAnsi="Palatino"/>
          <w:bCs/>
          <w:i/>
          <w:lang w:val="en-AU"/>
        </w:rPr>
        <w:t xml:space="preserve">, </w:t>
      </w:r>
      <w:proofErr w:type="gramStart"/>
      <w:r>
        <w:rPr>
          <w:rFonts w:ascii="Palatino" w:hAnsi="Palatino"/>
          <w:bCs/>
          <w:i/>
          <w:lang w:val="en-AU"/>
        </w:rPr>
        <w:t xml:space="preserve">assignments </w:t>
      </w:r>
      <w:r w:rsidRPr="00CB2B57">
        <w:rPr>
          <w:rFonts w:ascii="Palatino" w:hAnsi="Palatino"/>
          <w:bCs/>
          <w:i/>
          <w:lang w:val="en-AU"/>
        </w:rPr>
        <w:t xml:space="preserve"> </w:t>
      </w:r>
      <w:r w:rsidRPr="00CB2B57">
        <w:rPr>
          <w:rFonts w:ascii="Palatino" w:hAnsi="Palatino"/>
          <w:bCs/>
          <w:lang w:val="en-AU"/>
        </w:rPr>
        <w:t>and</w:t>
      </w:r>
      <w:proofErr w:type="gramEnd"/>
      <w:r w:rsidRPr="00CB2B57">
        <w:rPr>
          <w:rFonts w:ascii="Palatino" w:hAnsi="Palatino"/>
          <w:bCs/>
          <w:lang w:val="en-AU"/>
        </w:rPr>
        <w:t xml:space="preserve"> </w:t>
      </w:r>
      <w:r w:rsidR="00490E48">
        <w:rPr>
          <w:rFonts w:ascii="Palatino" w:hAnsi="Palatino"/>
          <w:bCs/>
          <w:lang w:val="en-AU"/>
        </w:rPr>
        <w:t>take home exams</w:t>
      </w:r>
      <w:r w:rsidRPr="00CB2B57">
        <w:rPr>
          <w:rFonts w:ascii="Palatino" w:hAnsi="Palatino"/>
          <w:bCs/>
          <w:i/>
          <w:lang w:val="en-AU"/>
        </w:rPr>
        <w:t xml:space="preserve"> </w:t>
      </w:r>
      <w:r w:rsidRPr="00CB2B57">
        <w:rPr>
          <w:rFonts w:ascii="Palatino" w:hAnsi="Palatino"/>
          <w:bCs/>
          <w:lang w:val="en-AU"/>
        </w:rPr>
        <w:t xml:space="preserve">are mandatory course components. </w:t>
      </w:r>
    </w:p>
    <w:p w14:paraId="4620E2DF" w14:textId="77777777" w:rsidR="00BD016D" w:rsidRPr="00CB2B57" w:rsidRDefault="005E4C58" w:rsidP="00BD016D">
      <w:pPr>
        <w:pStyle w:val="DefaultText"/>
        <w:tabs>
          <w:tab w:val="left" w:pos="360"/>
          <w:tab w:val="left" w:pos="720"/>
          <w:tab w:val="left" w:pos="1440"/>
          <w:tab w:val="left" w:pos="1890"/>
          <w:tab w:val="left" w:pos="2865"/>
          <w:tab w:val="left" w:pos="3510"/>
          <w:tab w:val="left" w:pos="3960"/>
          <w:tab w:val="left" w:pos="4320"/>
          <w:tab w:val="left" w:pos="5040"/>
          <w:tab w:val="left" w:pos="5760"/>
          <w:tab w:val="left" w:pos="6480"/>
          <w:tab w:val="left" w:pos="7200"/>
          <w:tab w:val="left" w:pos="7920"/>
          <w:tab w:val="left" w:pos="8640"/>
        </w:tabs>
        <w:rPr>
          <w:rFonts w:ascii="Palatino" w:hAnsi="Palatino"/>
          <w:sz w:val="22"/>
          <w:szCs w:val="22"/>
        </w:rPr>
      </w:pPr>
      <w:r>
        <w:rPr>
          <w:rFonts w:ascii="Palatino" w:hAnsi="Palatino"/>
          <w:noProof/>
          <w:sz w:val="22"/>
          <w:szCs w:val="22"/>
        </w:rPr>
        <w:pict w14:anchorId="19928751">
          <v:rect id="_x0000_i1027" alt="" style="width:518.4pt;height:.05pt;mso-width-percent:0;mso-height-percent:0;mso-width-percent:0;mso-height-percent:0" o:hralign="center" o:hrstd="t" o:hr="t" fillcolor="#aaa" stroked="f"/>
        </w:pict>
      </w:r>
    </w:p>
    <w:p w14:paraId="76AC6FC8" w14:textId="71C958CA" w:rsidR="00BD016D" w:rsidRPr="00523313" w:rsidRDefault="00BD016D" w:rsidP="00BD016D">
      <w:pPr>
        <w:pStyle w:val="DefaultText"/>
        <w:rPr>
          <w:rFonts w:ascii="Palatino" w:hAnsi="Palatino"/>
          <w:b/>
          <w:bCs/>
          <w:sz w:val="22"/>
          <w:szCs w:val="22"/>
        </w:rPr>
      </w:pPr>
      <w:r w:rsidRPr="00523313">
        <w:rPr>
          <w:rFonts w:ascii="Palatino" w:hAnsi="Palatino"/>
          <w:b/>
          <w:bCs/>
          <w:sz w:val="22"/>
          <w:szCs w:val="22"/>
        </w:rPr>
        <w:t>LECTURES</w:t>
      </w:r>
      <w:r w:rsidR="00490E48">
        <w:rPr>
          <w:rFonts w:ascii="Palatino" w:hAnsi="Palatino"/>
          <w:b/>
          <w:bCs/>
          <w:sz w:val="22"/>
          <w:szCs w:val="22"/>
        </w:rPr>
        <w:tab/>
        <w:t>Wednesday 3-5 pm.</w:t>
      </w:r>
    </w:p>
    <w:p w14:paraId="504945A4" w14:textId="77777777" w:rsidR="00BD016D" w:rsidRDefault="00BD016D" w:rsidP="00BD016D">
      <w:pPr>
        <w:pStyle w:val="DefaultText"/>
        <w:rPr>
          <w:rFonts w:ascii="Palatino" w:hAnsi="Palatino"/>
          <w:b/>
          <w:bCs/>
          <w:sz w:val="22"/>
          <w:szCs w:val="22"/>
        </w:rPr>
      </w:pPr>
    </w:p>
    <w:p w14:paraId="26017354" w14:textId="77777777" w:rsidR="00BD016D" w:rsidRPr="00CB2B57" w:rsidRDefault="00BD016D" w:rsidP="00BD016D">
      <w:pPr>
        <w:pStyle w:val="DefaultText"/>
        <w:rPr>
          <w:rFonts w:ascii="Palatino" w:hAnsi="Palatino"/>
          <w:bCs/>
          <w:sz w:val="22"/>
          <w:szCs w:val="22"/>
        </w:rPr>
      </w:pPr>
      <w:r w:rsidRPr="00CB2B57">
        <w:rPr>
          <w:rFonts w:ascii="Palatino" w:hAnsi="Palatino"/>
          <w:b/>
          <w:bCs/>
          <w:sz w:val="22"/>
          <w:szCs w:val="22"/>
        </w:rPr>
        <w:t>Tutorial:</w:t>
      </w:r>
      <w:r>
        <w:rPr>
          <w:rFonts w:ascii="Palatino" w:hAnsi="Palatino"/>
          <w:b/>
          <w:bCs/>
          <w:sz w:val="22"/>
          <w:szCs w:val="22"/>
        </w:rPr>
        <w:t xml:space="preserve"> </w:t>
      </w:r>
      <w:r w:rsidRPr="00CB2B57">
        <w:rPr>
          <w:rFonts w:ascii="Palatino" w:hAnsi="Palatino"/>
          <w:bCs/>
          <w:sz w:val="22"/>
          <w:szCs w:val="22"/>
        </w:rPr>
        <w:t xml:space="preserve">Lab sections are meant to expand on topics covered in lecture through participatory activities. </w:t>
      </w:r>
      <w:r w:rsidRPr="00CB2B57">
        <w:rPr>
          <w:rFonts w:ascii="Palatino" w:hAnsi="Palatino" w:cs="Arial"/>
          <w:sz w:val="22"/>
          <w:szCs w:val="22"/>
        </w:rPr>
        <w:t xml:space="preserve">Studying human </w:t>
      </w:r>
      <w:r>
        <w:rPr>
          <w:rFonts w:ascii="Palatino" w:hAnsi="Palatino" w:cs="Arial"/>
          <w:sz w:val="22"/>
          <w:szCs w:val="22"/>
        </w:rPr>
        <w:t>remains</w:t>
      </w:r>
      <w:r w:rsidRPr="00CB2B57">
        <w:rPr>
          <w:rFonts w:ascii="Palatino" w:hAnsi="Palatino" w:cs="Arial"/>
          <w:sz w:val="22"/>
          <w:szCs w:val="22"/>
        </w:rPr>
        <w:t xml:space="preserve"> is about learning to </w:t>
      </w:r>
      <w:proofErr w:type="spellStart"/>
      <w:r w:rsidRPr="00CB2B57">
        <w:rPr>
          <w:rFonts w:ascii="Palatino" w:hAnsi="Palatino" w:cs="Arial"/>
          <w:sz w:val="22"/>
          <w:szCs w:val="22"/>
        </w:rPr>
        <w:t>analyse</w:t>
      </w:r>
      <w:proofErr w:type="spellEnd"/>
      <w:r w:rsidRPr="00CB2B57">
        <w:rPr>
          <w:rFonts w:ascii="Palatino" w:hAnsi="Palatino" w:cs="Arial"/>
          <w:sz w:val="22"/>
          <w:szCs w:val="22"/>
        </w:rPr>
        <w:t xml:space="preserve"> evidence,</w:t>
      </w:r>
      <w:r>
        <w:rPr>
          <w:rFonts w:ascii="Palatino" w:hAnsi="Palatino" w:cs="Arial"/>
          <w:sz w:val="22"/>
          <w:szCs w:val="22"/>
        </w:rPr>
        <w:t xml:space="preserve"> </w:t>
      </w:r>
      <w:r w:rsidRPr="00CB2B57">
        <w:rPr>
          <w:rFonts w:ascii="Palatino" w:hAnsi="Palatino" w:cs="Arial"/>
          <w:sz w:val="22"/>
          <w:szCs w:val="22"/>
        </w:rPr>
        <w:t>including interpreting what others have written, as well as learning to make your own observations. Toward that end</w:t>
      </w:r>
      <w:r>
        <w:rPr>
          <w:rFonts w:ascii="Palatino" w:hAnsi="Palatino" w:cs="Arial"/>
          <w:sz w:val="22"/>
          <w:szCs w:val="22"/>
        </w:rPr>
        <w:t>,</w:t>
      </w:r>
      <w:r w:rsidRPr="00CB2B57">
        <w:rPr>
          <w:rFonts w:ascii="Palatino" w:hAnsi="Palatino" w:cs="Arial"/>
          <w:sz w:val="22"/>
          <w:szCs w:val="22"/>
        </w:rPr>
        <w:t xml:space="preserve"> you will have opportunities to learn through various means.</w:t>
      </w:r>
      <w:r>
        <w:rPr>
          <w:rFonts w:ascii="Palatino" w:hAnsi="Palatino" w:cs="Arial"/>
          <w:sz w:val="22"/>
          <w:szCs w:val="22"/>
        </w:rPr>
        <w:t xml:space="preserve"> </w:t>
      </w:r>
      <w:r w:rsidRPr="00CB2B57">
        <w:rPr>
          <w:rFonts w:ascii="Palatino" w:hAnsi="Palatino"/>
          <w:bCs/>
          <w:sz w:val="22"/>
          <w:szCs w:val="22"/>
        </w:rPr>
        <w:t xml:space="preserve">Labs also provide opportunities to clarify and discuss topics covered in lecture that you find interesting or confusing. Lab is intended to be dynamic, useful and often fun. There will be </w:t>
      </w:r>
      <w:r>
        <w:rPr>
          <w:rFonts w:ascii="Palatino" w:hAnsi="Palatino"/>
          <w:bCs/>
          <w:sz w:val="22"/>
          <w:szCs w:val="22"/>
        </w:rPr>
        <w:t>10 one hour</w:t>
      </w:r>
      <w:r w:rsidRPr="00CB2B57">
        <w:rPr>
          <w:rFonts w:ascii="Palatino" w:hAnsi="Palatino"/>
          <w:bCs/>
          <w:sz w:val="22"/>
          <w:szCs w:val="22"/>
        </w:rPr>
        <w:t xml:space="preserve"> lab</w:t>
      </w:r>
      <w:r>
        <w:rPr>
          <w:rFonts w:ascii="Palatino" w:hAnsi="Palatino"/>
          <w:bCs/>
          <w:sz w:val="22"/>
          <w:szCs w:val="22"/>
        </w:rPr>
        <w:t xml:space="preserve"> sessions</w:t>
      </w:r>
      <w:r w:rsidRPr="00CB2B57">
        <w:rPr>
          <w:rFonts w:ascii="Palatino" w:hAnsi="Palatino"/>
          <w:bCs/>
          <w:sz w:val="22"/>
          <w:szCs w:val="22"/>
        </w:rPr>
        <w:t xml:space="preserve">. There will </w:t>
      </w:r>
      <w:r>
        <w:rPr>
          <w:rFonts w:ascii="Palatino" w:hAnsi="Palatino"/>
          <w:bCs/>
          <w:sz w:val="22"/>
          <w:szCs w:val="22"/>
        </w:rPr>
        <w:t xml:space="preserve">be three lab assignments. </w:t>
      </w:r>
    </w:p>
    <w:p w14:paraId="20B233AF" w14:textId="77777777" w:rsidR="00BD016D" w:rsidRPr="00AB4600" w:rsidRDefault="00BD016D" w:rsidP="00BD016D">
      <w:pPr>
        <w:pStyle w:val="DefaultText"/>
        <w:rPr>
          <w:rFonts w:ascii="Palatino" w:hAnsi="Palatino"/>
          <w:bCs/>
          <w:sz w:val="16"/>
          <w:szCs w:val="22"/>
        </w:rPr>
      </w:pPr>
    </w:p>
    <w:p w14:paraId="6F759611" w14:textId="77777777" w:rsidR="00BD016D" w:rsidRPr="00CB2B57" w:rsidRDefault="00BD016D" w:rsidP="00BD016D">
      <w:pPr>
        <w:pStyle w:val="DefaultText"/>
        <w:rPr>
          <w:rFonts w:ascii="Palatino" w:hAnsi="Palatino"/>
          <w:bCs/>
          <w:sz w:val="22"/>
          <w:szCs w:val="22"/>
        </w:rPr>
      </w:pPr>
      <w:r w:rsidRPr="00CB2B57">
        <w:rPr>
          <w:rFonts w:ascii="Palatino" w:hAnsi="Palatino"/>
          <w:b/>
          <w:bCs/>
          <w:sz w:val="22"/>
          <w:szCs w:val="22"/>
        </w:rPr>
        <w:t xml:space="preserve">Tutorial Times: </w:t>
      </w:r>
      <w:r w:rsidRPr="00CB2B57">
        <w:rPr>
          <w:rFonts w:ascii="Palatino" w:hAnsi="Palatino"/>
          <w:bCs/>
          <w:sz w:val="22"/>
          <w:szCs w:val="22"/>
        </w:rPr>
        <w:t>Tutorials meet in the biological anthropology laboratory, HSB 706</w:t>
      </w:r>
      <w:r>
        <w:rPr>
          <w:rFonts w:ascii="Palatino" w:hAnsi="Palatino"/>
          <w:bCs/>
          <w:sz w:val="22"/>
          <w:szCs w:val="22"/>
        </w:rPr>
        <w:t xml:space="preserve"> unless otherwise advised</w:t>
      </w:r>
      <w:r w:rsidRPr="00CB2B57">
        <w:rPr>
          <w:rFonts w:ascii="Palatino" w:hAnsi="Palatino"/>
          <w:bCs/>
          <w:sz w:val="22"/>
          <w:szCs w:val="22"/>
        </w:rPr>
        <w:t>.</w:t>
      </w:r>
    </w:p>
    <w:p w14:paraId="0D0AEDAF" w14:textId="77777777" w:rsidR="00BD016D" w:rsidRPr="00CB2B57" w:rsidRDefault="00BD016D" w:rsidP="00BD016D">
      <w:pPr>
        <w:ind w:right="567"/>
        <w:rPr>
          <w:rFonts w:ascii="Palatino" w:hAnsi="Palatino" w:cs="Arial"/>
          <w:b/>
          <w:bCs/>
          <w:lang w:val="en-GB"/>
        </w:rPr>
      </w:pPr>
      <w:r w:rsidRPr="00CB2B57">
        <w:rPr>
          <w:rFonts w:ascii="Palatino" w:hAnsi="Palatino" w:cs="Arial"/>
          <w:bCs/>
          <w:lang w:val="en-GB"/>
        </w:rPr>
        <w:t xml:space="preserve"> </w:t>
      </w:r>
    </w:p>
    <w:p w14:paraId="774D0E70" w14:textId="77777777" w:rsidR="00BD016D" w:rsidRPr="00CB2B57" w:rsidRDefault="005E4C58" w:rsidP="00BD016D">
      <w:pPr>
        <w:rPr>
          <w:rFonts w:ascii="Palatino" w:hAnsi="Palatino"/>
          <w:b/>
        </w:rPr>
      </w:pPr>
      <w:r>
        <w:rPr>
          <w:rFonts w:ascii="Palatino" w:hAnsi="Palatino"/>
          <w:noProof/>
        </w:rPr>
        <w:pict w14:anchorId="255DF071">
          <v:rect id="_x0000_i1028" alt="" style="width:518.4pt;height:.05pt;mso-width-percent:0;mso-height-percent:0;mso-width-percent:0;mso-height-percent:0" o:hralign="center" o:hrstd="t" o:hr="t" fillcolor="#aaa" stroked="f"/>
        </w:pict>
      </w:r>
    </w:p>
    <w:p w14:paraId="622FE3E9" w14:textId="77777777" w:rsidR="00BD016D" w:rsidRPr="00CB2B57" w:rsidRDefault="00BD016D" w:rsidP="00BD016D">
      <w:pPr>
        <w:rPr>
          <w:rFonts w:ascii="Palatino" w:hAnsi="Palatino"/>
        </w:rPr>
      </w:pPr>
      <w:r w:rsidRPr="00CB2B57">
        <w:rPr>
          <w:rFonts w:ascii="Palatino" w:hAnsi="Palatino"/>
          <w:b/>
        </w:rPr>
        <w:t>Readings</w:t>
      </w:r>
      <w:r w:rsidRPr="00CB2B57">
        <w:rPr>
          <w:rFonts w:ascii="Palatino" w:hAnsi="Palatino"/>
        </w:rPr>
        <w:t xml:space="preserve">: </w:t>
      </w:r>
      <w:r>
        <w:rPr>
          <w:rFonts w:ascii="Palatino" w:hAnsi="Palatino"/>
        </w:rPr>
        <w:t xml:space="preserve">The readings are listed attached to each week and are provided through the course website as an electronic reader.  </w:t>
      </w:r>
    </w:p>
    <w:p w14:paraId="624739FC" w14:textId="77777777" w:rsidR="00BD016D" w:rsidRPr="00AB4600" w:rsidRDefault="00BD016D" w:rsidP="00BD016D">
      <w:pPr>
        <w:rPr>
          <w:rFonts w:ascii="Palatino" w:hAnsi="Palatino"/>
          <w:sz w:val="16"/>
        </w:rPr>
      </w:pPr>
    </w:p>
    <w:p w14:paraId="7FDD240F" w14:textId="6188584E" w:rsidR="00CA2E28" w:rsidRDefault="005E4C58" w:rsidP="00BD016D">
      <w:pPr>
        <w:rPr>
          <w:rFonts w:asciiTheme="majorHAnsi" w:hAnsiTheme="majorHAnsi"/>
          <w:b/>
          <w:sz w:val="28"/>
          <w:szCs w:val="28"/>
        </w:rPr>
      </w:pPr>
      <w:r>
        <w:rPr>
          <w:rFonts w:ascii="Palatino" w:hAnsi="Palatino"/>
          <w:noProof/>
        </w:rPr>
        <w:pict w14:anchorId="1FDDD381">
          <v:rect id="_x0000_i1029" alt="" style="width:518.4pt;height:.05pt;mso-width-percent:0;mso-height-percent:0;mso-width-percent:0;mso-height-percent:0" o:hralign="center" o:hrstd="t" o:hr="t" fillcolor="#aaa" stroked="f"/>
        </w:pict>
      </w:r>
      <w:r w:rsidR="00CA2E28" w:rsidRPr="00CA2E28">
        <w:rPr>
          <w:rFonts w:asciiTheme="majorHAnsi" w:hAnsiTheme="majorHAnsi"/>
          <w:b/>
          <w:sz w:val="28"/>
          <w:szCs w:val="28"/>
        </w:rPr>
        <w:t>Assessment</w:t>
      </w:r>
    </w:p>
    <w:tbl>
      <w:tblPr>
        <w:tblStyle w:val="TableGrid"/>
        <w:tblW w:w="0" w:type="auto"/>
        <w:tblLook w:val="04A0" w:firstRow="1" w:lastRow="0" w:firstColumn="1" w:lastColumn="0" w:noHBand="0" w:noVBand="1"/>
      </w:tblPr>
      <w:tblGrid>
        <w:gridCol w:w="3284"/>
        <w:gridCol w:w="3285"/>
        <w:gridCol w:w="3285"/>
      </w:tblGrid>
      <w:tr w:rsidR="00CA2E28" w:rsidRPr="00CA2E28" w14:paraId="6FAF3127" w14:textId="77777777" w:rsidTr="00CA2E28">
        <w:tc>
          <w:tcPr>
            <w:tcW w:w="3284" w:type="dxa"/>
          </w:tcPr>
          <w:p w14:paraId="61BD4E41" w14:textId="77777777" w:rsidR="00CA2E28" w:rsidRPr="00CA2E28" w:rsidRDefault="00CA2E28">
            <w:pPr>
              <w:rPr>
                <w:b/>
              </w:rPr>
            </w:pPr>
            <w:r w:rsidRPr="00CA2E28">
              <w:rPr>
                <w:b/>
              </w:rPr>
              <w:t>Task</w:t>
            </w:r>
          </w:p>
        </w:tc>
        <w:tc>
          <w:tcPr>
            <w:tcW w:w="3285" w:type="dxa"/>
          </w:tcPr>
          <w:p w14:paraId="367008BA" w14:textId="77777777" w:rsidR="00CA2E28" w:rsidRPr="00CA2E28" w:rsidRDefault="00CA2E28">
            <w:pPr>
              <w:rPr>
                <w:b/>
              </w:rPr>
            </w:pPr>
            <w:r w:rsidRPr="00CA2E28">
              <w:rPr>
                <w:b/>
              </w:rPr>
              <w:t>Value</w:t>
            </w:r>
          </w:p>
        </w:tc>
        <w:tc>
          <w:tcPr>
            <w:tcW w:w="3285" w:type="dxa"/>
          </w:tcPr>
          <w:p w14:paraId="030B9DBE" w14:textId="77777777" w:rsidR="00CA2E28" w:rsidRPr="00CA2E28" w:rsidRDefault="00CA2E28">
            <w:pPr>
              <w:rPr>
                <w:b/>
              </w:rPr>
            </w:pPr>
            <w:r w:rsidRPr="00CA2E28">
              <w:rPr>
                <w:b/>
              </w:rPr>
              <w:t>Due Dates</w:t>
            </w:r>
          </w:p>
        </w:tc>
      </w:tr>
      <w:tr w:rsidR="00CA2E28" w14:paraId="692C171E" w14:textId="77777777" w:rsidTr="00CA2E28">
        <w:tc>
          <w:tcPr>
            <w:tcW w:w="3284" w:type="dxa"/>
          </w:tcPr>
          <w:p w14:paraId="2EFD88AD" w14:textId="7D49AACC" w:rsidR="00CA2E28" w:rsidRDefault="00BD016D">
            <w:r>
              <w:t>Reading</w:t>
            </w:r>
            <w:r w:rsidR="00CA2E28">
              <w:t xml:space="preserve"> quizzes</w:t>
            </w:r>
          </w:p>
        </w:tc>
        <w:tc>
          <w:tcPr>
            <w:tcW w:w="3285" w:type="dxa"/>
          </w:tcPr>
          <w:p w14:paraId="4F7127CB" w14:textId="4C2AB75A" w:rsidR="00CA2E28" w:rsidRDefault="00BD016D" w:rsidP="00BD016D">
            <w:r>
              <w:t>10</w:t>
            </w:r>
            <w:r w:rsidR="00B20FD2">
              <w:t>%  (</w:t>
            </w:r>
            <w:r>
              <w:t>1 mark per quiz</w:t>
            </w:r>
            <w:r w:rsidR="00CA2E28">
              <w:t>)</w:t>
            </w:r>
          </w:p>
        </w:tc>
        <w:tc>
          <w:tcPr>
            <w:tcW w:w="3285" w:type="dxa"/>
          </w:tcPr>
          <w:p w14:paraId="43107382" w14:textId="6925F34D" w:rsidR="00CA2E28" w:rsidRDefault="00B20FD2" w:rsidP="00BD016D">
            <w:r>
              <w:t>Question</w:t>
            </w:r>
            <w:r w:rsidR="001A69BE">
              <w:t xml:space="preserve"> will be asked in </w:t>
            </w:r>
            <w:r w:rsidR="00BD016D">
              <w:t>Wednesday’s</w:t>
            </w:r>
            <w:r w:rsidR="00E36077">
              <w:t xml:space="preserve"> lecture</w:t>
            </w:r>
            <w:r w:rsidR="001A69BE">
              <w:t xml:space="preserve"> – one quiz per week</w:t>
            </w:r>
            <w:r w:rsidR="00CA2E28">
              <w:t xml:space="preserve"> commencing </w:t>
            </w:r>
            <w:r w:rsidR="00037B6D">
              <w:t xml:space="preserve">week </w:t>
            </w:r>
            <w:r w:rsidR="00E36077">
              <w:t>3</w:t>
            </w:r>
          </w:p>
        </w:tc>
      </w:tr>
      <w:tr w:rsidR="00CA2E28" w14:paraId="29CA893A" w14:textId="77777777" w:rsidTr="00CA2E28">
        <w:tc>
          <w:tcPr>
            <w:tcW w:w="3284" w:type="dxa"/>
          </w:tcPr>
          <w:p w14:paraId="5B7FD262" w14:textId="66687838" w:rsidR="00CA2E28" w:rsidRDefault="00BD016D">
            <w:r>
              <w:t>Lab Assignment 1</w:t>
            </w:r>
            <w:r w:rsidR="00684D0C">
              <w:t xml:space="preserve"> </w:t>
            </w:r>
            <w:r w:rsidR="00684D0C">
              <w:br/>
              <w:t>(c3-5 pages, 1000-1200 words)</w:t>
            </w:r>
          </w:p>
        </w:tc>
        <w:tc>
          <w:tcPr>
            <w:tcW w:w="3285" w:type="dxa"/>
          </w:tcPr>
          <w:p w14:paraId="51B6D670" w14:textId="77777777" w:rsidR="00CA2E28" w:rsidRDefault="00CA2E28">
            <w:r>
              <w:t xml:space="preserve">20% </w:t>
            </w:r>
          </w:p>
        </w:tc>
        <w:tc>
          <w:tcPr>
            <w:tcW w:w="3285" w:type="dxa"/>
          </w:tcPr>
          <w:p w14:paraId="6E4D628C" w14:textId="0396EAB8" w:rsidR="00CA2E28" w:rsidRDefault="00684D0C" w:rsidP="008E7516">
            <w:r>
              <w:t>Oral presentation week 3 or 4 in lab, written version 15 August, 3pm on Canvas</w:t>
            </w:r>
          </w:p>
        </w:tc>
      </w:tr>
      <w:tr w:rsidR="00CA2E28" w14:paraId="56B8D4A9" w14:textId="77777777" w:rsidTr="00CA2E28">
        <w:tc>
          <w:tcPr>
            <w:tcW w:w="3284" w:type="dxa"/>
          </w:tcPr>
          <w:p w14:paraId="59FF2CFE" w14:textId="2671FAF3" w:rsidR="00CA2E28" w:rsidRDefault="00BD016D">
            <w:r>
              <w:t>Lab Assignment 2</w:t>
            </w:r>
          </w:p>
        </w:tc>
        <w:tc>
          <w:tcPr>
            <w:tcW w:w="3285" w:type="dxa"/>
          </w:tcPr>
          <w:p w14:paraId="2D6DEB95" w14:textId="27B05534" w:rsidR="00CA2E28" w:rsidRDefault="00BD016D">
            <w:r>
              <w:t>20%</w:t>
            </w:r>
          </w:p>
        </w:tc>
        <w:tc>
          <w:tcPr>
            <w:tcW w:w="3285" w:type="dxa"/>
          </w:tcPr>
          <w:p w14:paraId="6CF38EC4" w14:textId="5E336A38" w:rsidR="00CA2E28" w:rsidRDefault="00684D0C" w:rsidP="008E7516">
            <w:r>
              <w:t>In lab 20 September.</w:t>
            </w:r>
          </w:p>
        </w:tc>
      </w:tr>
      <w:tr w:rsidR="008D574E" w14:paraId="2F1A7CC3" w14:textId="77777777" w:rsidTr="00CA2E28">
        <w:tc>
          <w:tcPr>
            <w:tcW w:w="3284" w:type="dxa"/>
          </w:tcPr>
          <w:p w14:paraId="0BC3411F" w14:textId="50D8EBC3" w:rsidR="008D574E" w:rsidRDefault="00BD016D">
            <w:r>
              <w:t>Lab Assignment 3</w:t>
            </w:r>
            <w:r w:rsidR="00684D0C">
              <w:br/>
            </w:r>
            <w:r w:rsidR="00684D0C">
              <w:t>(c3-5 pages, 1000-1200 words)</w:t>
            </w:r>
          </w:p>
        </w:tc>
        <w:tc>
          <w:tcPr>
            <w:tcW w:w="3285" w:type="dxa"/>
          </w:tcPr>
          <w:p w14:paraId="5CA6010D" w14:textId="77777777" w:rsidR="008D574E" w:rsidRDefault="008D574E">
            <w:r>
              <w:t>20%</w:t>
            </w:r>
          </w:p>
        </w:tc>
        <w:tc>
          <w:tcPr>
            <w:tcW w:w="3285" w:type="dxa"/>
          </w:tcPr>
          <w:p w14:paraId="678331CD" w14:textId="502640FF" w:rsidR="008D574E" w:rsidRDefault="00684D0C" w:rsidP="008E7516">
            <w:r>
              <w:t>10/10 3pm on canvas</w:t>
            </w:r>
          </w:p>
        </w:tc>
      </w:tr>
      <w:tr w:rsidR="00CA2E28" w14:paraId="701FEF06" w14:textId="77777777" w:rsidTr="00CA2E28">
        <w:tc>
          <w:tcPr>
            <w:tcW w:w="3284" w:type="dxa"/>
          </w:tcPr>
          <w:p w14:paraId="2630FEE9" w14:textId="2CD97580" w:rsidR="00CA2E28" w:rsidRDefault="00BD016D">
            <w:r>
              <w:t>Take home exam</w:t>
            </w:r>
            <w:r w:rsidR="00684D0C">
              <w:t xml:space="preserve"> </w:t>
            </w:r>
            <w:r w:rsidR="00684D0C">
              <w:br/>
              <w:t>(2 essays – 3-5 pages each)</w:t>
            </w:r>
          </w:p>
        </w:tc>
        <w:tc>
          <w:tcPr>
            <w:tcW w:w="3285" w:type="dxa"/>
          </w:tcPr>
          <w:p w14:paraId="40B001B8" w14:textId="2D8372E3" w:rsidR="00CA2E28" w:rsidRDefault="00BD016D">
            <w:r>
              <w:t>30%</w:t>
            </w:r>
          </w:p>
        </w:tc>
        <w:tc>
          <w:tcPr>
            <w:tcW w:w="3285" w:type="dxa"/>
          </w:tcPr>
          <w:p w14:paraId="3B3EB7DA" w14:textId="08C624A4" w:rsidR="00CA2E28" w:rsidRDefault="00684D0C">
            <w:r>
              <w:t>Handed out on Friday 20 October, due 24 October, 3pm on Canvas.</w:t>
            </w:r>
          </w:p>
        </w:tc>
      </w:tr>
    </w:tbl>
    <w:p w14:paraId="1421A84D" w14:textId="77777777" w:rsidR="008D574E" w:rsidRDefault="008D574E"/>
    <w:p w14:paraId="6A4253D5" w14:textId="77777777" w:rsidR="008D574E" w:rsidRPr="00EC4BC8" w:rsidRDefault="008D574E" w:rsidP="00EC4BC8">
      <w:pPr>
        <w:spacing w:after="0"/>
        <w:rPr>
          <w:rFonts w:asciiTheme="majorHAnsi" w:hAnsiTheme="majorHAnsi"/>
          <w:b/>
          <w:sz w:val="28"/>
          <w:szCs w:val="28"/>
        </w:rPr>
      </w:pPr>
      <w:r w:rsidRPr="00EC4BC8">
        <w:rPr>
          <w:rFonts w:asciiTheme="majorHAnsi" w:hAnsiTheme="majorHAnsi"/>
          <w:b/>
          <w:sz w:val="28"/>
          <w:szCs w:val="28"/>
        </w:rPr>
        <w:lastRenderedPageBreak/>
        <w:t>Lecture quizzes (5%)</w:t>
      </w:r>
    </w:p>
    <w:p w14:paraId="0D97059F" w14:textId="10DADC55" w:rsidR="008D574E" w:rsidRDefault="008D574E" w:rsidP="00EC4BC8">
      <w:pPr>
        <w:spacing w:after="0"/>
      </w:pPr>
      <w:r>
        <w:t xml:space="preserve">Starting at the </w:t>
      </w:r>
      <w:r w:rsidR="00EF0757">
        <w:t xml:space="preserve">beginning of Week 3 </w:t>
      </w:r>
      <w:r w:rsidR="00E36077">
        <w:t xml:space="preserve">on each </w:t>
      </w:r>
      <w:r w:rsidR="00EE0054">
        <w:t>Wednesday</w:t>
      </w:r>
      <w:r w:rsidR="00E36077">
        <w:t xml:space="preserve">, there will be a brief quiz. </w:t>
      </w:r>
      <w:r>
        <w:t xml:space="preserve">The aim of the quizzes is to check that you are </w:t>
      </w:r>
      <w:r w:rsidR="00B20FD2">
        <w:t xml:space="preserve">keeping up with the </w:t>
      </w:r>
      <w:r w:rsidR="00EE0054">
        <w:t>readings</w:t>
      </w:r>
      <w:r>
        <w:t xml:space="preserve">, understand concepts and to prepare you for the final exam. </w:t>
      </w:r>
    </w:p>
    <w:p w14:paraId="75BF662C" w14:textId="77777777" w:rsidR="00EC4BC8" w:rsidRDefault="00EC4BC8" w:rsidP="00EC4BC8">
      <w:pPr>
        <w:spacing w:after="0"/>
      </w:pPr>
    </w:p>
    <w:p w14:paraId="1B92E282" w14:textId="7D8ECC8A" w:rsidR="00EC4BC8" w:rsidRDefault="00EE0054" w:rsidP="00EC4BC8">
      <w:pPr>
        <w:spacing w:after="0"/>
        <w:rPr>
          <w:rFonts w:asciiTheme="majorHAnsi" w:hAnsiTheme="majorHAnsi"/>
          <w:b/>
          <w:sz w:val="28"/>
          <w:szCs w:val="28"/>
        </w:rPr>
      </w:pPr>
      <w:r>
        <w:rPr>
          <w:rFonts w:asciiTheme="majorHAnsi" w:hAnsiTheme="majorHAnsi"/>
          <w:b/>
          <w:sz w:val="28"/>
          <w:szCs w:val="28"/>
        </w:rPr>
        <w:t>Lab assignments</w:t>
      </w:r>
    </w:p>
    <w:p w14:paraId="6A49B6B4" w14:textId="6ABFB40B" w:rsidR="00EE0054" w:rsidRDefault="00EE0054" w:rsidP="00EC4BC8">
      <w:pPr>
        <w:spacing w:after="0"/>
        <w:rPr>
          <w:rFonts w:asciiTheme="majorHAnsi" w:hAnsiTheme="majorHAnsi"/>
          <w:b/>
          <w:sz w:val="28"/>
          <w:szCs w:val="28"/>
        </w:rPr>
      </w:pPr>
      <w:r>
        <w:rPr>
          <w:rFonts w:asciiTheme="majorHAnsi" w:hAnsiTheme="majorHAnsi"/>
          <w:b/>
          <w:sz w:val="28"/>
          <w:szCs w:val="28"/>
        </w:rPr>
        <w:t>Assignment 1: Analysis of a Monument</w:t>
      </w:r>
    </w:p>
    <w:p w14:paraId="1553024D" w14:textId="77777777" w:rsidR="00D12A57" w:rsidRDefault="00D12A57" w:rsidP="00D12A57">
      <w:r>
        <w:t>Oral presentation undertaken in Week 3 and 4 in labs 5%</w:t>
      </w:r>
    </w:p>
    <w:p w14:paraId="2C8C0337" w14:textId="77777777" w:rsidR="00D12A57" w:rsidRPr="00175E8C" w:rsidRDefault="00D12A57" w:rsidP="00D12A57">
      <w:r>
        <w:t>Written analysis due 15</w:t>
      </w:r>
      <w:r w:rsidRPr="00175E8C">
        <w:rPr>
          <w:vertAlign w:val="superscript"/>
        </w:rPr>
        <w:t>th</w:t>
      </w:r>
      <w:r>
        <w:t xml:space="preserve"> August, 3pm (on canvas) 15%</w:t>
      </w:r>
    </w:p>
    <w:p w14:paraId="12641426" w14:textId="77777777" w:rsidR="00D12A57" w:rsidRDefault="00D12A57" w:rsidP="00D12A57">
      <w:pPr>
        <w:pStyle w:val="Heading2"/>
      </w:pPr>
      <w:r>
        <w:t>Task:</w:t>
      </w:r>
    </w:p>
    <w:p w14:paraId="2465AE01" w14:textId="77777777" w:rsidR="00D12A57" w:rsidRDefault="00D12A57" w:rsidP="00D12A57">
      <w:r>
        <w:t xml:space="preserve">Identify a place or monument concerned with the dead (that is pretty widespread) and analyse it. That means thinking up a research question about that place (keep it simple but think both about what you read for Week 1 and 2 particularly Parker Pearson as well as the sorts of issues we discussed at Symonds St cemetery).  You will translate this to a 1000 word (3 page report) submitted to Canvas as a PDF (that way you can have images </w:t>
      </w:r>
      <w:proofErr w:type="spellStart"/>
      <w:r>
        <w:t>etc</w:t>
      </w:r>
      <w:proofErr w:type="spellEnd"/>
      <w:r>
        <w:t xml:space="preserve">).  </w:t>
      </w:r>
    </w:p>
    <w:p w14:paraId="6BD118AE" w14:textId="77777777" w:rsidR="00D12A57" w:rsidRDefault="00D12A57" w:rsidP="00D12A57">
      <w:r>
        <w:t xml:space="preserve">This project is in two stages so </w:t>
      </w:r>
    </w:p>
    <w:p w14:paraId="4FACAD84" w14:textId="77777777" w:rsidR="00D12A57" w:rsidRDefault="00D12A57" w:rsidP="00D12A57">
      <w:pPr>
        <w:pStyle w:val="ListParagraph"/>
        <w:numPr>
          <w:ilvl w:val="0"/>
          <w:numId w:val="9"/>
        </w:numPr>
      </w:pPr>
      <w:r>
        <w:t xml:space="preserve">In Labs 3 or 4 (we will sort out a schedule) you will each come prepared with a 2 minute presentation of your monument and your research question (practice before hand and time yourself). You can have one </w:t>
      </w:r>
      <w:proofErr w:type="spellStart"/>
      <w:proofErr w:type="gramStart"/>
      <w:r>
        <w:t>powerpoint</w:t>
      </w:r>
      <w:proofErr w:type="spellEnd"/>
      <w:proofErr w:type="gramEnd"/>
      <w:r>
        <w:t xml:space="preserve"> slide or one PDF page to display and talk to (You will send these to Caitlin by 3pm the Wednesday before).  Now the aim of this is not to cause you pain but because it will be really interesting for us all to think about each other’s projects and what sort of research questions you might ask or where might you go for information. So have an idea of your analysis (your question, your analytical frame) that we can discuss and workshop.</w:t>
      </w:r>
    </w:p>
    <w:p w14:paraId="2E8986C8" w14:textId="77777777" w:rsidR="00D12A57" w:rsidRDefault="00D12A57" w:rsidP="00D12A57">
      <w:pPr>
        <w:pStyle w:val="ListParagraph"/>
        <w:numPr>
          <w:ilvl w:val="0"/>
          <w:numId w:val="9"/>
        </w:numPr>
      </w:pPr>
      <w:r>
        <w:t xml:space="preserve">In Week 5 you will submit your 1000 -1200 word report (3-5 pages) plus references to Canvas as a PDF.  I will compile all reports (without the marking) into a single document so that you can see what people did and have it as a resource.  The report will include an introduction – which tells us what you analysed and how; a description of the monument or whatever; and then the analysis of it with appropriate references (you don’t need to go overboard here but you will probably need at least one relevant historical reference since that will help with context and one relevant reference from archaeological theory e.g. if you are dealing with landscape and placement then you probably want to read something about how archaeologists analyse landscape; if you are dealing with mortality then you will need something about that time in New Zealand and then a paper that deals with a similar issue elsewhere (providing a theoretical or comparative framework).  </w:t>
      </w:r>
    </w:p>
    <w:p w14:paraId="6D047AB9" w14:textId="77777777" w:rsidR="00D12A57" w:rsidRPr="00634027" w:rsidRDefault="00D12A57" w:rsidP="00D12A57">
      <w:r>
        <w:t>NOW: DON’T GO OVERBOARD, TRUST YOUR DESCRIPTION, THINK ABOUT THIS ENTIRE EXERCISE TAKING UP 10 SOLID HOURS OF WORK: HALF A DAY RECORDING AND DESCRIBING AND A DAY OF RESEARCH AND WRITING.  IF YOU FALL IN LOVE WITH THE PROJECT REMEMBER YOU CAN FOLLOW THIS UP FURTHER FOR YOUR ESSAY.</w:t>
      </w:r>
    </w:p>
    <w:p w14:paraId="6FCE5A14" w14:textId="77777777" w:rsidR="00D12A57" w:rsidRDefault="00D12A57" w:rsidP="00D12A57">
      <w:pPr>
        <w:pStyle w:val="ListParagraph"/>
        <w:numPr>
          <w:ilvl w:val="0"/>
          <w:numId w:val="8"/>
        </w:numPr>
      </w:pPr>
      <w:r>
        <w:t xml:space="preserve">In thinking about your exercise remember it is an introduction, a description, and an analysis and in the analysis you can pose a larger question or point to a bigger literature.  So here is the example from Brendan (remember Hobson’s grave):  </w:t>
      </w:r>
      <w:r>
        <w:rPr>
          <w:i/>
        </w:rPr>
        <w:t xml:space="preserve">In what ways does Hobson’s grave reflect and or mask his social importance?  </w:t>
      </w:r>
      <w:r>
        <w:t xml:space="preserve">Now that’s a question that allows Brendan to look at the archaeological literature (do we expect graves to reflect social status?) but it doesn’t mean that his analysis of Hobson’s grave is going </w:t>
      </w:r>
      <w:r>
        <w:lastRenderedPageBreak/>
        <w:t xml:space="preserve">to turn theory on its head.  The theory will give us a set of ideas to think with (concepts like status, ranking, display, symbolism, identity). </w:t>
      </w:r>
    </w:p>
    <w:p w14:paraId="5A62B656" w14:textId="77777777" w:rsidR="00D12A57" w:rsidRDefault="00D12A57" w:rsidP="00D12A57">
      <w:pPr>
        <w:pStyle w:val="ListParagraph"/>
        <w:numPr>
          <w:ilvl w:val="0"/>
          <w:numId w:val="8"/>
        </w:numPr>
      </w:pPr>
      <w:r>
        <w:t xml:space="preserve">Most of you have some form of that question very clear already but don’t think you have to make grand claims, all I want is for you to realise out of this is that </w:t>
      </w:r>
      <w:r>
        <w:br/>
        <w:t xml:space="preserve">a. it isn’t difficult to think up questions for research, </w:t>
      </w:r>
      <w:r>
        <w:br/>
        <w:t xml:space="preserve">b. research involves thinking with theories, using them, adapting them, </w:t>
      </w:r>
      <w:r>
        <w:br/>
        <w:t xml:space="preserve">c. it can be a lot of fun (and hard work) and </w:t>
      </w:r>
      <w:r>
        <w:br/>
        <w:t xml:space="preserve">d. you can all do it. </w:t>
      </w:r>
    </w:p>
    <w:p w14:paraId="17F9F1DD" w14:textId="77777777" w:rsidR="00D12A57" w:rsidRDefault="00D12A57" w:rsidP="00D12A57">
      <w:pPr>
        <w:pStyle w:val="ListParagraph"/>
        <w:numPr>
          <w:ilvl w:val="0"/>
          <w:numId w:val="8"/>
        </w:numPr>
      </w:pPr>
      <w:r>
        <w:t>Finally useful references mentioned (all available via Google scholar):</w:t>
      </w:r>
    </w:p>
    <w:p w14:paraId="6AC05EFC" w14:textId="77777777" w:rsidR="00D12A57" w:rsidRPr="00B80DF3" w:rsidRDefault="00D12A57" w:rsidP="00D12A57">
      <w:pPr>
        <w:pStyle w:val="ListParagraph"/>
        <w:ind w:left="1080"/>
        <w:rPr>
          <w:u w:val="single"/>
        </w:rPr>
      </w:pPr>
      <w:r w:rsidRPr="00B80DF3">
        <w:rPr>
          <w:u w:val="single"/>
        </w:rPr>
        <w:t>Different types of burial and ideology:</w:t>
      </w:r>
    </w:p>
    <w:p w14:paraId="7108D01F" w14:textId="77777777" w:rsidR="00D12A57"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r w:rsidRPr="001C7A23">
        <w:rPr>
          <w:rFonts w:ascii="Arial" w:eastAsia="Times New Roman" w:hAnsi="Arial" w:cs="Arial"/>
          <w:color w:val="222222"/>
          <w:sz w:val="20"/>
          <w:szCs w:val="20"/>
          <w:lang w:eastAsia="en-NZ"/>
        </w:rPr>
        <w:t xml:space="preserve">Robb, J. O. H. N. "Burial treatment as transformations of bodily ideology." </w:t>
      </w:r>
      <w:r w:rsidRPr="001C7A23">
        <w:rPr>
          <w:rFonts w:ascii="Arial" w:eastAsia="Times New Roman" w:hAnsi="Arial" w:cs="Arial"/>
          <w:i/>
          <w:iCs/>
          <w:color w:val="222222"/>
          <w:sz w:val="20"/>
          <w:szCs w:val="20"/>
          <w:lang w:eastAsia="en-NZ"/>
        </w:rPr>
        <w:t xml:space="preserve">Preforming Death: Social analyses of Funerary Traditions in the Ancient </w:t>
      </w:r>
      <w:proofErr w:type="gramStart"/>
      <w:r w:rsidRPr="001C7A23">
        <w:rPr>
          <w:rFonts w:ascii="Arial" w:eastAsia="Times New Roman" w:hAnsi="Arial" w:cs="Arial"/>
          <w:i/>
          <w:iCs/>
          <w:color w:val="222222"/>
          <w:sz w:val="20"/>
          <w:szCs w:val="20"/>
          <w:lang w:eastAsia="en-NZ"/>
        </w:rPr>
        <w:t>Near</w:t>
      </w:r>
      <w:proofErr w:type="gramEnd"/>
      <w:r w:rsidRPr="001C7A23">
        <w:rPr>
          <w:rFonts w:ascii="Arial" w:eastAsia="Times New Roman" w:hAnsi="Arial" w:cs="Arial"/>
          <w:i/>
          <w:iCs/>
          <w:color w:val="222222"/>
          <w:sz w:val="20"/>
          <w:szCs w:val="20"/>
          <w:lang w:eastAsia="en-NZ"/>
        </w:rPr>
        <w:t xml:space="preserve"> East and Mediterranean. The Oriental Institute of the University of Chicago, Chicago</w:t>
      </w:r>
      <w:r w:rsidRPr="001C7A23">
        <w:rPr>
          <w:rFonts w:ascii="Arial" w:eastAsia="Times New Roman" w:hAnsi="Arial" w:cs="Arial"/>
          <w:color w:val="222222"/>
          <w:sz w:val="20"/>
          <w:szCs w:val="20"/>
          <w:lang w:eastAsia="en-NZ"/>
        </w:rPr>
        <w:t xml:space="preserve"> (2007): 287-298.</w:t>
      </w:r>
      <w:r>
        <w:rPr>
          <w:rFonts w:ascii="Arial" w:eastAsia="Times New Roman" w:hAnsi="Arial" w:cs="Arial"/>
          <w:color w:val="222222"/>
          <w:sz w:val="20"/>
          <w:szCs w:val="20"/>
          <w:lang w:eastAsia="en-NZ"/>
        </w:rPr>
        <w:t xml:space="preserve"> (</w:t>
      </w:r>
      <w:proofErr w:type="gramStart"/>
      <w:r>
        <w:rPr>
          <w:rFonts w:ascii="Arial" w:eastAsia="Times New Roman" w:hAnsi="Arial" w:cs="Arial"/>
          <w:color w:val="222222"/>
          <w:sz w:val="20"/>
          <w:szCs w:val="20"/>
          <w:lang w:eastAsia="en-NZ"/>
        </w:rPr>
        <w:t>available</w:t>
      </w:r>
      <w:proofErr w:type="gramEnd"/>
      <w:r>
        <w:rPr>
          <w:rFonts w:ascii="Arial" w:eastAsia="Times New Roman" w:hAnsi="Arial" w:cs="Arial"/>
          <w:color w:val="222222"/>
          <w:sz w:val="20"/>
          <w:szCs w:val="20"/>
          <w:lang w:eastAsia="en-NZ"/>
        </w:rPr>
        <w:t xml:space="preserve"> as pdf on line from google scholar0.</w:t>
      </w:r>
    </w:p>
    <w:p w14:paraId="7A2528A6" w14:textId="77777777" w:rsidR="00D12A57"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r w:rsidRPr="00B80DF3">
        <w:rPr>
          <w:rFonts w:ascii="Arial" w:eastAsia="Times New Roman" w:hAnsi="Arial" w:cs="Arial"/>
          <w:color w:val="222222"/>
          <w:sz w:val="20"/>
          <w:szCs w:val="20"/>
          <w:u w:val="single"/>
          <w:lang w:eastAsia="en-NZ"/>
        </w:rPr>
        <w:t xml:space="preserve">Communal tombs, wandering bones: </w:t>
      </w:r>
      <w:r w:rsidRPr="00B80DF3">
        <w:rPr>
          <w:rFonts w:ascii="Arial" w:eastAsia="Times New Roman" w:hAnsi="Arial" w:cs="Arial"/>
          <w:color w:val="222222"/>
          <w:sz w:val="20"/>
          <w:szCs w:val="20"/>
          <w:u w:val="single"/>
          <w:lang w:eastAsia="en-NZ"/>
        </w:rPr>
        <w:br/>
      </w:r>
      <w:r w:rsidRPr="00E00653">
        <w:rPr>
          <w:rFonts w:ascii="Arial" w:eastAsia="Times New Roman" w:hAnsi="Arial" w:cs="Arial"/>
          <w:color w:val="222222"/>
          <w:sz w:val="20"/>
          <w:szCs w:val="20"/>
          <w:lang w:eastAsia="en-NZ"/>
        </w:rPr>
        <w:t>Weiss-</w:t>
      </w:r>
      <w:proofErr w:type="spellStart"/>
      <w:r w:rsidRPr="00E00653">
        <w:rPr>
          <w:rFonts w:ascii="Arial" w:eastAsia="Times New Roman" w:hAnsi="Arial" w:cs="Arial"/>
          <w:color w:val="222222"/>
          <w:sz w:val="20"/>
          <w:szCs w:val="20"/>
          <w:lang w:eastAsia="en-NZ"/>
        </w:rPr>
        <w:t>Krejci</w:t>
      </w:r>
      <w:proofErr w:type="spellEnd"/>
      <w:r w:rsidRPr="00E00653">
        <w:rPr>
          <w:rFonts w:ascii="Arial" w:eastAsia="Times New Roman" w:hAnsi="Arial" w:cs="Arial"/>
          <w:color w:val="222222"/>
          <w:sz w:val="20"/>
          <w:szCs w:val="20"/>
          <w:lang w:eastAsia="en-NZ"/>
        </w:rPr>
        <w:t xml:space="preserve">, Estella. "Mortuary representations of the noble house </w:t>
      </w:r>
      <w:proofErr w:type="gramStart"/>
      <w:r w:rsidRPr="00E00653">
        <w:rPr>
          <w:rFonts w:ascii="Arial" w:eastAsia="Times New Roman" w:hAnsi="Arial" w:cs="Arial"/>
          <w:color w:val="222222"/>
          <w:sz w:val="20"/>
          <w:szCs w:val="20"/>
          <w:lang w:eastAsia="en-NZ"/>
        </w:rPr>
        <w:t>A</w:t>
      </w:r>
      <w:proofErr w:type="gramEnd"/>
      <w:r w:rsidRPr="00E00653">
        <w:rPr>
          <w:rFonts w:ascii="Arial" w:eastAsia="Times New Roman" w:hAnsi="Arial" w:cs="Arial"/>
          <w:color w:val="222222"/>
          <w:sz w:val="20"/>
          <w:szCs w:val="20"/>
          <w:lang w:eastAsia="en-NZ"/>
        </w:rPr>
        <w:t xml:space="preserve"> cross-cultural comparison between collective tombs of the ancient Maya and dynastic Europe." </w:t>
      </w:r>
      <w:r w:rsidRPr="00E00653">
        <w:rPr>
          <w:rFonts w:ascii="Arial" w:eastAsia="Times New Roman" w:hAnsi="Arial" w:cs="Arial"/>
          <w:i/>
          <w:iCs/>
          <w:color w:val="222222"/>
          <w:sz w:val="20"/>
          <w:szCs w:val="20"/>
          <w:lang w:eastAsia="en-NZ"/>
        </w:rPr>
        <w:t>Journal of Social Archaeology</w:t>
      </w:r>
      <w:r w:rsidRPr="00E00653">
        <w:rPr>
          <w:rFonts w:ascii="Arial" w:eastAsia="Times New Roman" w:hAnsi="Arial" w:cs="Arial"/>
          <w:color w:val="222222"/>
          <w:sz w:val="20"/>
          <w:szCs w:val="20"/>
          <w:lang w:eastAsia="en-NZ"/>
        </w:rPr>
        <w:t xml:space="preserve"> 4.3 (2004): 368-404.</w:t>
      </w:r>
    </w:p>
    <w:p w14:paraId="7E955E03" w14:textId="77777777" w:rsidR="00D12A57" w:rsidRPr="00B80DF3" w:rsidRDefault="00D12A57" w:rsidP="00D12A57">
      <w:pPr>
        <w:pStyle w:val="ListParagraph"/>
        <w:numPr>
          <w:ilvl w:val="0"/>
          <w:numId w:val="8"/>
        </w:numPr>
        <w:spacing w:after="0" w:line="240" w:lineRule="auto"/>
        <w:rPr>
          <w:rFonts w:ascii="Arial" w:eastAsia="Times New Roman" w:hAnsi="Arial" w:cs="Arial"/>
          <w:color w:val="222222"/>
          <w:sz w:val="20"/>
          <w:szCs w:val="20"/>
          <w:u w:val="single"/>
          <w:lang w:eastAsia="en-NZ"/>
        </w:rPr>
      </w:pPr>
      <w:r w:rsidRPr="00B80DF3">
        <w:rPr>
          <w:rFonts w:ascii="Arial" w:eastAsia="Times New Roman" w:hAnsi="Arial" w:cs="Arial"/>
          <w:color w:val="222222"/>
          <w:sz w:val="20"/>
          <w:szCs w:val="20"/>
          <w:u w:val="single"/>
          <w:lang w:eastAsia="en-NZ"/>
        </w:rPr>
        <w:t>Status:</w:t>
      </w:r>
    </w:p>
    <w:p w14:paraId="4344A714" w14:textId="77777777" w:rsidR="00D12A57" w:rsidRPr="00E00653"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r w:rsidRPr="00E00653">
        <w:rPr>
          <w:rFonts w:ascii="Arial" w:eastAsia="Times New Roman" w:hAnsi="Arial" w:cs="Arial"/>
          <w:color w:val="222222"/>
          <w:sz w:val="20"/>
          <w:szCs w:val="20"/>
          <w:lang w:eastAsia="en-NZ"/>
        </w:rPr>
        <w:t xml:space="preserve">Cannon, Aubrey. "Mortuary Expressions of Status and." </w:t>
      </w:r>
      <w:r w:rsidRPr="00E00653">
        <w:rPr>
          <w:rFonts w:ascii="Arial" w:eastAsia="Times New Roman" w:hAnsi="Arial" w:cs="Arial"/>
          <w:i/>
          <w:iCs/>
          <w:color w:val="222222"/>
          <w:sz w:val="20"/>
          <w:szCs w:val="20"/>
          <w:lang w:eastAsia="en-NZ"/>
        </w:rPr>
        <w:t>Current Anthropology</w:t>
      </w:r>
      <w:r w:rsidRPr="00E00653">
        <w:rPr>
          <w:rFonts w:ascii="Arial" w:eastAsia="Times New Roman" w:hAnsi="Arial" w:cs="Arial"/>
          <w:color w:val="222222"/>
          <w:sz w:val="20"/>
          <w:szCs w:val="20"/>
          <w:lang w:eastAsia="en-NZ"/>
        </w:rPr>
        <w:t xml:space="preserve"> 30.4 (1989): 437-458.</w:t>
      </w:r>
    </w:p>
    <w:p w14:paraId="3BCA8C33" w14:textId="77777777" w:rsidR="00D12A57" w:rsidRPr="00B80DF3" w:rsidRDefault="00D12A57" w:rsidP="00D12A57">
      <w:pPr>
        <w:pStyle w:val="ListParagraph"/>
        <w:numPr>
          <w:ilvl w:val="0"/>
          <w:numId w:val="8"/>
        </w:numPr>
        <w:spacing w:after="0" w:line="240" w:lineRule="auto"/>
        <w:rPr>
          <w:rFonts w:ascii="Arial" w:eastAsia="Times New Roman" w:hAnsi="Arial" w:cs="Arial"/>
          <w:color w:val="222222"/>
          <w:sz w:val="20"/>
          <w:szCs w:val="20"/>
          <w:u w:val="single"/>
          <w:lang w:eastAsia="en-NZ"/>
        </w:rPr>
      </w:pPr>
      <w:r w:rsidRPr="00B80DF3">
        <w:rPr>
          <w:rFonts w:ascii="Arial" w:eastAsia="Times New Roman" w:hAnsi="Arial" w:cs="Arial"/>
          <w:color w:val="222222"/>
          <w:sz w:val="20"/>
          <w:szCs w:val="20"/>
          <w:u w:val="single"/>
          <w:lang w:eastAsia="en-NZ"/>
        </w:rPr>
        <w:t>Communal burials:</w:t>
      </w:r>
    </w:p>
    <w:p w14:paraId="64714383" w14:textId="77777777" w:rsidR="00D12A57" w:rsidRPr="00E00653"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proofErr w:type="spellStart"/>
      <w:r w:rsidRPr="00E00653">
        <w:rPr>
          <w:rFonts w:ascii="Arial" w:eastAsia="Times New Roman" w:hAnsi="Arial" w:cs="Arial"/>
          <w:color w:val="222222"/>
          <w:sz w:val="20"/>
          <w:szCs w:val="20"/>
          <w:lang w:eastAsia="en-NZ"/>
        </w:rPr>
        <w:t>Chénier</w:t>
      </w:r>
      <w:proofErr w:type="spellEnd"/>
      <w:r w:rsidRPr="00E00653">
        <w:rPr>
          <w:rFonts w:ascii="Arial" w:eastAsia="Times New Roman" w:hAnsi="Arial" w:cs="Arial"/>
          <w:color w:val="222222"/>
          <w:sz w:val="20"/>
          <w:szCs w:val="20"/>
          <w:lang w:eastAsia="en-NZ"/>
        </w:rPr>
        <w:t xml:space="preserve">, Ani. "Bones, people and communities: Tensions between individual and corporate identities in secondary burial ritual." </w:t>
      </w:r>
      <w:r w:rsidRPr="00E00653">
        <w:rPr>
          <w:rFonts w:ascii="Arial" w:eastAsia="Times New Roman" w:hAnsi="Arial" w:cs="Arial"/>
          <w:i/>
          <w:iCs/>
          <w:color w:val="222222"/>
          <w:sz w:val="20"/>
          <w:szCs w:val="20"/>
          <w:lang w:eastAsia="en-NZ"/>
        </w:rPr>
        <w:t>NEXUS</w:t>
      </w:r>
      <w:r w:rsidRPr="00E00653">
        <w:rPr>
          <w:rFonts w:ascii="Arial" w:eastAsia="Times New Roman" w:hAnsi="Arial" w:cs="Arial"/>
          <w:color w:val="222222"/>
          <w:sz w:val="20"/>
          <w:szCs w:val="20"/>
          <w:lang w:eastAsia="en-NZ"/>
        </w:rPr>
        <w:t xml:space="preserve"> 21.1 (2009): 3.</w:t>
      </w:r>
    </w:p>
    <w:p w14:paraId="6837E143" w14:textId="77777777" w:rsidR="00D12A57" w:rsidRPr="00B80DF3" w:rsidRDefault="00D12A57" w:rsidP="00D12A57">
      <w:pPr>
        <w:pStyle w:val="ListParagraph"/>
        <w:numPr>
          <w:ilvl w:val="0"/>
          <w:numId w:val="8"/>
        </w:numPr>
        <w:spacing w:after="0" w:line="240" w:lineRule="auto"/>
        <w:rPr>
          <w:rFonts w:ascii="Arial" w:eastAsia="Times New Roman" w:hAnsi="Arial" w:cs="Arial"/>
          <w:color w:val="222222"/>
          <w:sz w:val="20"/>
          <w:szCs w:val="20"/>
          <w:u w:val="single"/>
          <w:lang w:eastAsia="en-NZ"/>
        </w:rPr>
      </w:pPr>
      <w:r w:rsidRPr="00B80DF3">
        <w:rPr>
          <w:rFonts w:ascii="Arial" w:eastAsia="Times New Roman" w:hAnsi="Arial" w:cs="Arial"/>
          <w:color w:val="222222"/>
          <w:sz w:val="20"/>
          <w:szCs w:val="20"/>
          <w:u w:val="single"/>
          <w:lang w:eastAsia="en-NZ"/>
        </w:rPr>
        <w:t>Cenotaphs, memorials:</w:t>
      </w:r>
    </w:p>
    <w:p w14:paraId="42C9BE07" w14:textId="77777777" w:rsidR="00D12A57" w:rsidRPr="00B80DF3"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proofErr w:type="spellStart"/>
      <w:r w:rsidRPr="00B80DF3">
        <w:rPr>
          <w:rFonts w:ascii="Arial" w:eastAsia="Times New Roman" w:hAnsi="Arial" w:cs="Arial"/>
          <w:color w:val="222222"/>
          <w:sz w:val="20"/>
          <w:szCs w:val="20"/>
          <w:lang w:eastAsia="en-NZ"/>
        </w:rPr>
        <w:t>Fahlander</w:t>
      </w:r>
      <w:proofErr w:type="spellEnd"/>
      <w:r w:rsidRPr="00B80DF3">
        <w:rPr>
          <w:rFonts w:ascii="Arial" w:eastAsia="Times New Roman" w:hAnsi="Arial" w:cs="Arial"/>
          <w:color w:val="222222"/>
          <w:sz w:val="20"/>
          <w:szCs w:val="20"/>
          <w:lang w:eastAsia="en-NZ"/>
        </w:rPr>
        <w:t xml:space="preserve">, Fredrik, and </w:t>
      </w:r>
      <w:proofErr w:type="spellStart"/>
      <w:r w:rsidRPr="00B80DF3">
        <w:rPr>
          <w:rFonts w:ascii="Arial" w:eastAsia="Times New Roman" w:hAnsi="Arial" w:cs="Arial"/>
          <w:color w:val="222222"/>
          <w:sz w:val="20"/>
          <w:szCs w:val="20"/>
          <w:lang w:eastAsia="en-NZ"/>
        </w:rPr>
        <w:t>Terje</w:t>
      </w:r>
      <w:proofErr w:type="spellEnd"/>
      <w:r w:rsidRPr="00B80DF3">
        <w:rPr>
          <w:rFonts w:ascii="Arial" w:eastAsia="Times New Roman" w:hAnsi="Arial" w:cs="Arial"/>
          <w:color w:val="222222"/>
          <w:sz w:val="20"/>
          <w:szCs w:val="20"/>
          <w:lang w:eastAsia="en-NZ"/>
        </w:rPr>
        <w:t xml:space="preserve"> </w:t>
      </w:r>
      <w:proofErr w:type="spellStart"/>
      <w:r w:rsidRPr="00B80DF3">
        <w:rPr>
          <w:rFonts w:ascii="Arial" w:eastAsia="Times New Roman" w:hAnsi="Arial" w:cs="Arial"/>
          <w:color w:val="222222"/>
          <w:sz w:val="20"/>
          <w:szCs w:val="20"/>
          <w:lang w:eastAsia="en-NZ"/>
        </w:rPr>
        <w:t>Oestigaard</w:t>
      </w:r>
      <w:proofErr w:type="spellEnd"/>
      <w:r w:rsidRPr="00B80DF3">
        <w:rPr>
          <w:rFonts w:ascii="Arial" w:eastAsia="Times New Roman" w:hAnsi="Arial" w:cs="Arial"/>
          <w:color w:val="222222"/>
          <w:sz w:val="20"/>
          <w:szCs w:val="20"/>
          <w:lang w:eastAsia="en-NZ"/>
        </w:rPr>
        <w:t xml:space="preserve">, </w:t>
      </w:r>
      <w:proofErr w:type="gramStart"/>
      <w:r w:rsidRPr="00B80DF3">
        <w:rPr>
          <w:rFonts w:ascii="Arial" w:eastAsia="Times New Roman" w:hAnsi="Arial" w:cs="Arial"/>
          <w:color w:val="222222"/>
          <w:sz w:val="20"/>
          <w:szCs w:val="20"/>
          <w:lang w:eastAsia="en-NZ"/>
        </w:rPr>
        <w:t>eds</w:t>
      </w:r>
      <w:proofErr w:type="gramEnd"/>
      <w:r w:rsidRPr="00B80DF3">
        <w:rPr>
          <w:rFonts w:ascii="Arial" w:eastAsia="Times New Roman" w:hAnsi="Arial" w:cs="Arial"/>
          <w:color w:val="222222"/>
          <w:sz w:val="20"/>
          <w:szCs w:val="20"/>
          <w:lang w:eastAsia="en-NZ"/>
        </w:rPr>
        <w:t xml:space="preserve">. </w:t>
      </w:r>
      <w:r w:rsidRPr="00B80DF3">
        <w:rPr>
          <w:rFonts w:ascii="Arial" w:eastAsia="Times New Roman" w:hAnsi="Arial" w:cs="Arial"/>
          <w:i/>
          <w:iCs/>
          <w:color w:val="222222"/>
          <w:sz w:val="20"/>
          <w:szCs w:val="20"/>
          <w:lang w:eastAsia="en-NZ"/>
        </w:rPr>
        <w:t>The materiality of death: bodies, burials, beliefs</w:t>
      </w:r>
      <w:r w:rsidRPr="00B80DF3">
        <w:rPr>
          <w:rFonts w:ascii="Arial" w:eastAsia="Times New Roman" w:hAnsi="Arial" w:cs="Arial"/>
          <w:color w:val="222222"/>
          <w:sz w:val="20"/>
          <w:szCs w:val="20"/>
          <w:lang w:eastAsia="en-NZ"/>
        </w:rPr>
        <w:t xml:space="preserve">. </w:t>
      </w:r>
      <w:proofErr w:type="spellStart"/>
      <w:r w:rsidRPr="00B80DF3">
        <w:rPr>
          <w:rFonts w:ascii="Arial" w:eastAsia="Times New Roman" w:hAnsi="Arial" w:cs="Arial"/>
          <w:color w:val="222222"/>
          <w:sz w:val="20"/>
          <w:szCs w:val="20"/>
          <w:lang w:eastAsia="en-NZ"/>
        </w:rPr>
        <w:t>Archaeopress</w:t>
      </w:r>
      <w:proofErr w:type="spellEnd"/>
      <w:r w:rsidRPr="00B80DF3">
        <w:rPr>
          <w:rFonts w:ascii="Arial" w:eastAsia="Times New Roman" w:hAnsi="Arial" w:cs="Arial"/>
          <w:color w:val="222222"/>
          <w:sz w:val="20"/>
          <w:szCs w:val="20"/>
          <w:lang w:eastAsia="en-NZ"/>
        </w:rPr>
        <w:t>, 2008.</w:t>
      </w:r>
      <w:r>
        <w:rPr>
          <w:rFonts w:ascii="Arial" w:eastAsia="Times New Roman" w:hAnsi="Arial" w:cs="Arial"/>
          <w:color w:val="222222"/>
          <w:sz w:val="20"/>
          <w:szCs w:val="20"/>
          <w:lang w:eastAsia="en-NZ"/>
        </w:rPr>
        <w:t xml:space="preserve"> (Introduction)</w:t>
      </w:r>
    </w:p>
    <w:p w14:paraId="508BE197" w14:textId="77777777" w:rsidR="00D12A57" w:rsidRPr="00D15F84" w:rsidRDefault="00D12A57" w:rsidP="00D12A57">
      <w:pPr>
        <w:pStyle w:val="ListParagraph"/>
        <w:numPr>
          <w:ilvl w:val="0"/>
          <w:numId w:val="8"/>
        </w:numPr>
        <w:spacing w:after="0" w:line="240" w:lineRule="auto"/>
        <w:rPr>
          <w:rFonts w:ascii="Arial" w:eastAsia="Times New Roman" w:hAnsi="Arial" w:cs="Arial"/>
          <w:color w:val="222222"/>
          <w:sz w:val="20"/>
          <w:szCs w:val="20"/>
          <w:u w:val="single"/>
          <w:lang w:eastAsia="en-NZ"/>
        </w:rPr>
      </w:pPr>
      <w:r w:rsidRPr="00D15F84">
        <w:rPr>
          <w:rFonts w:ascii="Arial" w:eastAsia="Times New Roman" w:hAnsi="Arial" w:cs="Arial"/>
          <w:color w:val="222222"/>
          <w:sz w:val="20"/>
          <w:szCs w:val="20"/>
          <w:u w:val="single"/>
          <w:lang w:eastAsia="en-NZ"/>
        </w:rPr>
        <w:t xml:space="preserve">Memory, monuments </w:t>
      </w:r>
      <w:proofErr w:type="spellStart"/>
      <w:r w:rsidRPr="00D15F84">
        <w:rPr>
          <w:rFonts w:ascii="Arial" w:eastAsia="Times New Roman" w:hAnsi="Arial" w:cs="Arial"/>
          <w:color w:val="222222"/>
          <w:sz w:val="20"/>
          <w:szCs w:val="20"/>
          <w:u w:val="single"/>
          <w:lang w:eastAsia="en-NZ"/>
        </w:rPr>
        <w:t>etc</w:t>
      </w:r>
      <w:proofErr w:type="spellEnd"/>
      <w:r w:rsidRPr="00D15F84">
        <w:rPr>
          <w:rFonts w:ascii="Arial" w:eastAsia="Times New Roman" w:hAnsi="Arial" w:cs="Arial"/>
          <w:color w:val="222222"/>
          <w:sz w:val="20"/>
          <w:szCs w:val="20"/>
          <w:u w:val="single"/>
          <w:lang w:eastAsia="en-NZ"/>
        </w:rPr>
        <w:t>:</w:t>
      </w:r>
    </w:p>
    <w:p w14:paraId="215A4FE6" w14:textId="77777777" w:rsidR="00D12A57" w:rsidRPr="00D15F84"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r w:rsidRPr="00D15F84">
        <w:rPr>
          <w:rFonts w:ascii="Arial" w:eastAsia="Times New Roman" w:hAnsi="Arial" w:cs="Arial"/>
          <w:color w:val="222222"/>
          <w:sz w:val="20"/>
          <w:szCs w:val="20"/>
          <w:lang w:eastAsia="en-NZ"/>
        </w:rPr>
        <w:t xml:space="preserve">Bradley, Richard. "Ritual, time and history." </w:t>
      </w:r>
      <w:r w:rsidRPr="00D15F84">
        <w:rPr>
          <w:rFonts w:ascii="Arial" w:eastAsia="Times New Roman" w:hAnsi="Arial" w:cs="Arial"/>
          <w:i/>
          <w:iCs/>
          <w:color w:val="222222"/>
          <w:sz w:val="20"/>
          <w:szCs w:val="20"/>
          <w:lang w:eastAsia="en-NZ"/>
        </w:rPr>
        <w:t>World Archaeology</w:t>
      </w:r>
      <w:r w:rsidRPr="00D15F84">
        <w:rPr>
          <w:rFonts w:ascii="Arial" w:eastAsia="Times New Roman" w:hAnsi="Arial" w:cs="Arial"/>
          <w:color w:val="222222"/>
          <w:sz w:val="20"/>
          <w:szCs w:val="20"/>
          <w:lang w:eastAsia="en-NZ"/>
        </w:rPr>
        <w:t xml:space="preserve"> 23.2 (1991): 209-219.</w:t>
      </w:r>
    </w:p>
    <w:p w14:paraId="20B7EF91" w14:textId="77777777" w:rsidR="00D12A57" w:rsidRPr="00D15F84"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r w:rsidRPr="00D15F84">
        <w:rPr>
          <w:rFonts w:ascii="Arial" w:eastAsia="Times New Roman" w:hAnsi="Arial" w:cs="Arial"/>
          <w:color w:val="222222"/>
          <w:sz w:val="20"/>
          <w:szCs w:val="20"/>
          <w:lang w:eastAsia="en-NZ"/>
        </w:rPr>
        <w:t xml:space="preserve">Bradley, Richard. </w:t>
      </w:r>
      <w:r w:rsidRPr="00D15F84">
        <w:rPr>
          <w:rFonts w:ascii="Arial" w:eastAsia="Times New Roman" w:hAnsi="Arial" w:cs="Arial"/>
          <w:i/>
          <w:iCs/>
          <w:color w:val="222222"/>
          <w:sz w:val="20"/>
          <w:szCs w:val="20"/>
          <w:lang w:eastAsia="en-NZ"/>
        </w:rPr>
        <w:t>The past in prehistoric societies</w:t>
      </w:r>
      <w:r w:rsidRPr="00D15F84">
        <w:rPr>
          <w:rFonts w:ascii="Arial" w:eastAsia="Times New Roman" w:hAnsi="Arial" w:cs="Arial"/>
          <w:color w:val="222222"/>
          <w:sz w:val="20"/>
          <w:szCs w:val="20"/>
          <w:lang w:eastAsia="en-NZ"/>
        </w:rPr>
        <w:t>. Routledge, 2002.</w:t>
      </w:r>
    </w:p>
    <w:p w14:paraId="4B6E4C51" w14:textId="77777777" w:rsidR="00D12A57" w:rsidRPr="00D15F84" w:rsidRDefault="00D12A57" w:rsidP="00D12A57">
      <w:pPr>
        <w:pStyle w:val="ListParagraph"/>
        <w:numPr>
          <w:ilvl w:val="0"/>
          <w:numId w:val="8"/>
        </w:numPr>
        <w:spacing w:after="0" w:line="240" w:lineRule="auto"/>
        <w:rPr>
          <w:rFonts w:ascii="Arial" w:eastAsia="Times New Roman" w:hAnsi="Arial" w:cs="Arial"/>
          <w:color w:val="222222"/>
          <w:sz w:val="20"/>
          <w:szCs w:val="20"/>
          <w:u w:val="single"/>
          <w:lang w:eastAsia="en-NZ"/>
        </w:rPr>
      </w:pPr>
      <w:r w:rsidRPr="00D15F84">
        <w:rPr>
          <w:rFonts w:ascii="Arial" w:eastAsia="Times New Roman" w:hAnsi="Arial" w:cs="Arial"/>
          <w:color w:val="222222"/>
          <w:sz w:val="20"/>
          <w:szCs w:val="20"/>
          <w:u w:val="single"/>
          <w:lang w:eastAsia="en-NZ"/>
        </w:rPr>
        <w:t>Places of death:</w:t>
      </w:r>
    </w:p>
    <w:p w14:paraId="61729392" w14:textId="77777777" w:rsidR="00D12A57" w:rsidRPr="00B80DF3"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proofErr w:type="spellStart"/>
      <w:r w:rsidRPr="00B80DF3">
        <w:rPr>
          <w:rFonts w:ascii="Arial" w:eastAsia="Times New Roman" w:hAnsi="Arial" w:cs="Arial"/>
          <w:color w:val="222222"/>
          <w:sz w:val="20"/>
          <w:szCs w:val="20"/>
          <w:lang w:eastAsia="en-NZ"/>
        </w:rPr>
        <w:t>Cherryson</w:t>
      </w:r>
      <w:proofErr w:type="spellEnd"/>
      <w:r w:rsidRPr="00B80DF3">
        <w:rPr>
          <w:rFonts w:ascii="Arial" w:eastAsia="Times New Roman" w:hAnsi="Arial" w:cs="Arial"/>
          <w:color w:val="222222"/>
          <w:sz w:val="20"/>
          <w:szCs w:val="20"/>
          <w:lang w:eastAsia="en-NZ"/>
        </w:rPr>
        <w:t xml:space="preserve">, </w:t>
      </w:r>
      <w:proofErr w:type="spellStart"/>
      <w:r w:rsidRPr="00B80DF3">
        <w:rPr>
          <w:rFonts w:ascii="Arial" w:eastAsia="Times New Roman" w:hAnsi="Arial" w:cs="Arial"/>
          <w:color w:val="222222"/>
          <w:sz w:val="20"/>
          <w:szCs w:val="20"/>
          <w:lang w:eastAsia="en-NZ"/>
        </w:rPr>
        <w:t>Annia</w:t>
      </w:r>
      <w:proofErr w:type="spellEnd"/>
      <w:r w:rsidRPr="00B80DF3">
        <w:rPr>
          <w:rFonts w:ascii="Arial" w:eastAsia="Times New Roman" w:hAnsi="Arial" w:cs="Arial"/>
          <w:color w:val="222222"/>
          <w:sz w:val="20"/>
          <w:szCs w:val="20"/>
          <w:lang w:eastAsia="en-NZ"/>
        </w:rPr>
        <w:t xml:space="preserve">, Zoë </w:t>
      </w:r>
      <w:proofErr w:type="spellStart"/>
      <w:r w:rsidRPr="00B80DF3">
        <w:rPr>
          <w:rFonts w:ascii="Arial" w:eastAsia="Times New Roman" w:hAnsi="Arial" w:cs="Arial"/>
          <w:color w:val="222222"/>
          <w:sz w:val="20"/>
          <w:szCs w:val="20"/>
          <w:lang w:eastAsia="en-NZ"/>
        </w:rPr>
        <w:t>Crossland</w:t>
      </w:r>
      <w:proofErr w:type="spellEnd"/>
      <w:r w:rsidRPr="00B80DF3">
        <w:rPr>
          <w:rFonts w:ascii="Arial" w:eastAsia="Times New Roman" w:hAnsi="Arial" w:cs="Arial"/>
          <w:color w:val="222222"/>
          <w:sz w:val="20"/>
          <w:szCs w:val="20"/>
          <w:lang w:eastAsia="en-NZ"/>
        </w:rPr>
        <w:t xml:space="preserve">, and Sarah </w:t>
      </w:r>
      <w:proofErr w:type="spellStart"/>
      <w:r w:rsidRPr="00B80DF3">
        <w:rPr>
          <w:rFonts w:ascii="Arial" w:eastAsia="Times New Roman" w:hAnsi="Arial" w:cs="Arial"/>
          <w:color w:val="222222"/>
          <w:sz w:val="20"/>
          <w:szCs w:val="20"/>
          <w:lang w:eastAsia="en-NZ"/>
        </w:rPr>
        <w:t>Tarlow</w:t>
      </w:r>
      <w:proofErr w:type="spellEnd"/>
      <w:r w:rsidRPr="00B80DF3">
        <w:rPr>
          <w:rFonts w:ascii="Arial" w:eastAsia="Times New Roman" w:hAnsi="Arial" w:cs="Arial"/>
          <w:color w:val="222222"/>
          <w:sz w:val="20"/>
          <w:szCs w:val="20"/>
          <w:lang w:eastAsia="en-NZ"/>
        </w:rPr>
        <w:t xml:space="preserve">. </w:t>
      </w:r>
      <w:r w:rsidRPr="00B80DF3">
        <w:rPr>
          <w:rFonts w:ascii="Arial" w:eastAsia="Times New Roman" w:hAnsi="Arial" w:cs="Arial"/>
          <w:i/>
          <w:iCs/>
          <w:color w:val="222222"/>
          <w:sz w:val="20"/>
          <w:szCs w:val="20"/>
          <w:lang w:eastAsia="en-NZ"/>
        </w:rPr>
        <w:t>A Fine and Private Place: The Archaeology of Death and Burial in Post-medieval Britain and Ireland</w:t>
      </w:r>
      <w:r w:rsidRPr="00B80DF3">
        <w:rPr>
          <w:rFonts w:ascii="Arial" w:eastAsia="Times New Roman" w:hAnsi="Arial" w:cs="Arial"/>
          <w:color w:val="222222"/>
          <w:sz w:val="20"/>
          <w:szCs w:val="20"/>
          <w:lang w:eastAsia="en-NZ"/>
        </w:rPr>
        <w:t>. University of Leicester, 2012.</w:t>
      </w:r>
      <w:r>
        <w:rPr>
          <w:rFonts w:ascii="Arial" w:eastAsia="Times New Roman" w:hAnsi="Arial" w:cs="Arial"/>
          <w:color w:val="222222"/>
          <w:sz w:val="20"/>
          <w:szCs w:val="20"/>
          <w:lang w:eastAsia="en-NZ"/>
        </w:rPr>
        <w:t xml:space="preserve"> (Not on Google but maybe in library)</w:t>
      </w:r>
    </w:p>
    <w:p w14:paraId="03942135" w14:textId="77777777" w:rsidR="00D12A57" w:rsidRPr="00B80DF3"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proofErr w:type="spellStart"/>
      <w:r w:rsidRPr="00B80DF3">
        <w:rPr>
          <w:rFonts w:ascii="Arial" w:eastAsia="Times New Roman" w:hAnsi="Arial" w:cs="Arial"/>
          <w:color w:val="222222"/>
          <w:sz w:val="20"/>
          <w:szCs w:val="20"/>
          <w:lang w:eastAsia="en-NZ"/>
        </w:rPr>
        <w:t>Tarlow</w:t>
      </w:r>
      <w:proofErr w:type="spellEnd"/>
      <w:r w:rsidRPr="00B80DF3">
        <w:rPr>
          <w:rFonts w:ascii="Arial" w:eastAsia="Times New Roman" w:hAnsi="Arial" w:cs="Arial"/>
          <w:color w:val="222222"/>
          <w:sz w:val="20"/>
          <w:szCs w:val="20"/>
          <w:lang w:eastAsia="en-NZ"/>
        </w:rPr>
        <w:t xml:space="preserve">, Sarah. "Landscapes of memory: the nineteenth-century garden cemetery." </w:t>
      </w:r>
      <w:r w:rsidRPr="00B80DF3">
        <w:rPr>
          <w:rFonts w:ascii="Arial" w:eastAsia="Times New Roman" w:hAnsi="Arial" w:cs="Arial"/>
          <w:i/>
          <w:iCs/>
          <w:color w:val="222222"/>
          <w:sz w:val="20"/>
          <w:szCs w:val="20"/>
          <w:lang w:eastAsia="en-NZ"/>
        </w:rPr>
        <w:t>European Journal of Archaeology</w:t>
      </w:r>
      <w:r w:rsidRPr="00B80DF3">
        <w:rPr>
          <w:rFonts w:ascii="Arial" w:eastAsia="Times New Roman" w:hAnsi="Arial" w:cs="Arial"/>
          <w:color w:val="222222"/>
          <w:sz w:val="20"/>
          <w:szCs w:val="20"/>
          <w:lang w:eastAsia="en-NZ"/>
        </w:rPr>
        <w:t xml:space="preserve"> 3.2 (2000): 217-239.</w:t>
      </w:r>
      <w:r>
        <w:rPr>
          <w:rFonts w:ascii="Arial" w:eastAsia="Times New Roman" w:hAnsi="Arial" w:cs="Arial"/>
          <w:color w:val="222222"/>
          <w:sz w:val="20"/>
          <w:szCs w:val="20"/>
          <w:lang w:eastAsia="en-NZ"/>
        </w:rPr>
        <w:t xml:space="preserve"> (Google scholar)</w:t>
      </w:r>
    </w:p>
    <w:p w14:paraId="64CAA792" w14:textId="77777777" w:rsidR="00D12A57" w:rsidRDefault="00D12A57" w:rsidP="00D12A57">
      <w:pPr>
        <w:pStyle w:val="ListParagraph"/>
        <w:numPr>
          <w:ilvl w:val="0"/>
          <w:numId w:val="8"/>
        </w:numPr>
        <w:spacing w:after="0" w:line="240" w:lineRule="auto"/>
        <w:rPr>
          <w:rFonts w:ascii="Arial" w:eastAsia="Times New Roman" w:hAnsi="Arial" w:cs="Arial"/>
          <w:color w:val="222222"/>
          <w:sz w:val="20"/>
          <w:szCs w:val="20"/>
          <w:lang w:eastAsia="en-NZ"/>
        </w:rPr>
      </w:pPr>
      <w:proofErr w:type="spellStart"/>
      <w:r w:rsidRPr="00B80DF3">
        <w:rPr>
          <w:rFonts w:ascii="Arial" w:eastAsia="Times New Roman" w:hAnsi="Arial" w:cs="Arial"/>
          <w:color w:val="222222"/>
          <w:sz w:val="20"/>
          <w:szCs w:val="20"/>
          <w:lang w:eastAsia="en-NZ"/>
        </w:rPr>
        <w:t>Tarlow</w:t>
      </w:r>
      <w:proofErr w:type="spellEnd"/>
      <w:r w:rsidRPr="00B80DF3">
        <w:rPr>
          <w:rFonts w:ascii="Arial" w:eastAsia="Times New Roman" w:hAnsi="Arial" w:cs="Arial"/>
          <w:color w:val="222222"/>
          <w:sz w:val="20"/>
          <w:szCs w:val="20"/>
          <w:lang w:eastAsia="en-NZ"/>
        </w:rPr>
        <w:t xml:space="preserve">, Sarah. "An archaeology of remembering: death, bereavement and the First World War." </w:t>
      </w:r>
      <w:r w:rsidRPr="00B80DF3">
        <w:rPr>
          <w:rFonts w:ascii="Arial" w:eastAsia="Times New Roman" w:hAnsi="Arial" w:cs="Arial"/>
          <w:i/>
          <w:iCs/>
          <w:color w:val="222222"/>
          <w:sz w:val="20"/>
          <w:szCs w:val="20"/>
          <w:lang w:eastAsia="en-NZ"/>
        </w:rPr>
        <w:t>Cambridge Archaeological Journal</w:t>
      </w:r>
      <w:r w:rsidRPr="00B80DF3">
        <w:rPr>
          <w:rFonts w:ascii="Arial" w:eastAsia="Times New Roman" w:hAnsi="Arial" w:cs="Arial"/>
          <w:color w:val="222222"/>
          <w:sz w:val="20"/>
          <w:szCs w:val="20"/>
          <w:lang w:eastAsia="en-NZ"/>
        </w:rPr>
        <w:t xml:space="preserve"> 7 (1997): 105-121.</w:t>
      </w:r>
      <w:r>
        <w:rPr>
          <w:rFonts w:ascii="Arial" w:eastAsia="Times New Roman" w:hAnsi="Arial" w:cs="Arial"/>
          <w:color w:val="222222"/>
          <w:sz w:val="20"/>
          <w:szCs w:val="20"/>
          <w:lang w:eastAsia="en-NZ"/>
        </w:rPr>
        <w:t xml:space="preserve"> (Library)</w:t>
      </w:r>
    </w:p>
    <w:p w14:paraId="4D8B8A84" w14:textId="77777777" w:rsidR="00D12A57" w:rsidRPr="00936EB4" w:rsidRDefault="00D12A57" w:rsidP="00D12A57">
      <w:pPr>
        <w:pStyle w:val="ListParagraph"/>
        <w:numPr>
          <w:ilvl w:val="0"/>
          <w:numId w:val="8"/>
        </w:numPr>
        <w:spacing w:after="0" w:line="240" w:lineRule="auto"/>
        <w:ind w:left="567" w:hanging="567"/>
        <w:rPr>
          <w:rFonts w:ascii="Arial" w:eastAsia="Times New Roman" w:hAnsi="Arial" w:cs="Arial"/>
          <w:color w:val="222222"/>
          <w:sz w:val="20"/>
          <w:szCs w:val="20"/>
          <w:u w:val="single"/>
          <w:lang w:eastAsia="en-NZ"/>
        </w:rPr>
      </w:pPr>
      <w:r w:rsidRPr="00936EB4">
        <w:rPr>
          <w:rFonts w:ascii="Arial" w:eastAsia="Times New Roman" w:hAnsi="Arial" w:cs="Arial"/>
          <w:color w:val="222222"/>
          <w:sz w:val="20"/>
          <w:szCs w:val="20"/>
          <w:u w:val="single"/>
          <w:lang w:eastAsia="en-NZ"/>
        </w:rPr>
        <w:t>Rites of passage</w:t>
      </w:r>
    </w:p>
    <w:p w14:paraId="7D4DDB2B" w14:textId="77777777" w:rsidR="00D12A57" w:rsidRPr="00936EB4" w:rsidRDefault="00D12A57" w:rsidP="00D12A57">
      <w:pPr>
        <w:pStyle w:val="ListParagraph"/>
        <w:numPr>
          <w:ilvl w:val="0"/>
          <w:numId w:val="8"/>
        </w:numPr>
        <w:spacing w:after="0" w:line="240" w:lineRule="auto"/>
        <w:ind w:left="567" w:hanging="567"/>
        <w:rPr>
          <w:rFonts w:ascii="Arial" w:eastAsia="Times New Roman" w:hAnsi="Arial" w:cs="Arial"/>
          <w:color w:val="222222"/>
          <w:sz w:val="20"/>
          <w:szCs w:val="20"/>
          <w:lang w:eastAsia="en-NZ"/>
        </w:rPr>
      </w:pPr>
      <w:proofErr w:type="spellStart"/>
      <w:r w:rsidRPr="00936EB4">
        <w:rPr>
          <w:rFonts w:ascii="Arial" w:eastAsia="Times New Roman" w:hAnsi="Arial" w:cs="Arial"/>
          <w:color w:val="222222"/>
          <w:sz w:val="20"/>
          <w:szCs w:val="20"/>
          <w:lang w:eastAsia="en-NZ"/>
        </w:rPr>
        <w:t>Palgi</w:t>
      </w:r>
      <w:proofErr w:type="spellEnd"/>
      <w:r w:rsidRPr="00936EB4">
        <w:rPr>
          <w:rFonts w:ascii="Arial" w:eastAsia="Times New Roman" w:hAnsi="Arial" w:cs="Arial"/>
          <w:color w:val="222222"/>
          <w:sz w:val="20"/>
          <w:szCs w:val="20"/>
          <w:lang w:eastAsia="en-NZ"/>
        </w:rPr>
        <w:t xml:space="preserve">, Phyllis, and Henry </w:t>
      </w:r>
      <w:proofErr w:type="spellStart"/>
      <w:r w:rsidRPr="00936EB4">
        <w:rPr>
          <w:rFonts w:ascii="Arial" w:eastAsia="Times New Roman" w:hAnsi="Arial" w:cs="Arial"/>
          <w:color w:val="222222"/>
          <w:sz w:val="20"/>
          <w:szCs w:val="20"/>
          <w:lang w:eastAsia="en-NZ"/>
        </w:rPr>
        <w:t>Abramovitch</w:t>
      </w:r>
      <w:proofErr w:type="spellEnd"/>
      <w:r w:rsidRPr="00936EB4">
        <w:rPr>
          <w:rFonts w:ascii="Arial" w:eastAsia="Times New Roman" w:hAnsi="Arial" w:cs="Arial"/>
          <w:color w:val="222222"/>
          <w:sz w:val="20"/>
          <w:szCs w:val="20"/>
          <w:lang w:eastAsia="en-NZ"/>
        </w:rPr>
        <w:t xml:space="preserve">. "Death: A cross-cultural perspective." </w:t>
      </w:r>
      <w:r w:rsidRPr="00936EB4">
        <w:rPr>
          <w:rFonts w:ascii="Arial" w:eastAsia="Times New Roman" w:hAnsi="Arial" w:cs="Arial"/>
          <w:i/>
          <w:iCs/>
          <w:color w:val="222222"/>
          <w:sz w:val="20"/>
          <w:szCs w:val="20"/>
          <w:lang w:eastAsia="en-NZ"/>
        </w:rPr>
        <w:t>Annual Review of Anthropology</w:t>
      </w:r>
      <w:r w:rsidRPr="00936EB4">
        <w:rPr>
          <w:rFonts w:ascii="Arial" w:eastAsia="Times New Roman" w:hAnsi="Arial" w:cs="Arial"/>
          <w:color w:val="222222"/>
          <w:sz w:val="20"/>
          <w:szCs w:val="20"/>
          <w:lang w:eastAsia="en-NZ"/>
        </w:rPr>
        <w:t xml:space="preserve"> (1984): 385-417.</w:t>
      </w:r>
      <w:r>
        <w:rPr>
          <w:rFonts w:ascii="Arial" w:eastAsia="Times New Roman" w:hAnsi="Arial" w:cs="Arial"/>
          <w:color w:val="222222"/>
          <w:sz w:val="20"/>
          <w:szCs w:val="20"/>
          <w:lang w:eastAsia="en-NZ"/>
        </w:rPr>
        <w:t xml:space="preserve"> (maybe useful – not sure)</w:t>
      </w:r>
    </w:p>
    <w:p w14:paraId="2EDDEC12" w14:textId="77777777" w:rsidR="00D12A57" w:rsidRDefault="00D12A57" w:rsidP="00D12A57">
      <w:pPr>
        <w:pStyle w:val="ListParagraph"/>
        <w:numPr>
          <w:ilvl w:val="0"/>
          <w:numId w:val="8"/>
        </w:numPr>
        <w:spacing w:after="0" w:line="240" w:lineRule="auto"/>
        <w:ind w:left="567" w:hanging="567"/>
        <w:rPr>
          <w:rFonts w:ascii="Arial" w:eastAsia="Times New Roman" w:hAnsi="Arial" w:cs="Arial"/>
          <w:color w:val="222222"/>
          <w:sz w:val="20"/>
          <w:szCs w:val="20"/>
          <w:lang w:eastAsia="en-NZ"/>
        </w:rPr>
      </w:pPr>
    </w:p>
    <w:p w14:paraId="12B6344D" w14:textId="77777777" w:rsidR="00D12A57" w:rsidRPr="00936EB4" w:rsidRDefault="00D12A57" w:rsidP="00D12A57">
      <w:pPr>
        <w:pStyle w:val="ListParagraph"/>
        <w:numPr>
          <w:ilvl w:val="0"/>
          <w:numId w:val="8"/>
        </w:numPr>
        <w:spacing w:after="0" w:line="240" w:lineRule="auto"/>
        <w:ind w:left="567" w:hanging="567"/>
        <w:rPr>
          <w:rFonts w:ascii="Arial" w:eastAsia="Times New Roman" w:hAnsi="Arial" w:cs="Arial"/>
          <w:color w:val="222222"/>
          <w:sz w:val="20"/>
          <w:szCs w:val="20"/>
          <w:u w:val="single"/>
          <w:lang w:eastAsia="en-NZ"/>
        </w:rPr>
      </w:pPr>
      <w:r w:rsidRPr="00936EB4">
        <w:rPr>
          <w:rFonts w:ascii="Arial" w:eastAsia="Times New Roman" w:hAnsi="Arial" w:cs="Arial"/>
          <w:color w:val="222222"/>
          <w:sz w:val="20"/>
          <w:szCs w:val="20"/>
          <w:u w:val="single"/>
          <w:lang w:eastAsia="en-NZ"/>
        </w:rPr>
        <w:t>And for just about every topic under the sun:</w:t>
      </w:r>
    </w:p>
    <w:p w14:paraId="73012591" w14:textId="77777777" w:rsidR="00D12A57" w:rsidRPr="00936EB4" w:rsidRDefault="00D12A57" w:rsidP="00D12A57">
      <w:pPr>
        <w:numPr>
          <w:ilvl w:val="0"/>
          <w:numId w:val="8"/>
        </w:numPr>
        <w:shd w:val="clear" w:color="auto" w:fill="FFFFFF"/>
        <w:spacing w:before="100" w:beforeAutospacing="1" w:after="100" w:afterAutospacing="1" w:line="240" w:lineRule="auto"/>
        <w:ind w:left="567" w:hanging="567"/>
        <w:rPr>
          <w:rFonts w:ascii="Arial" w:eastAsia="Times New Roman" w:hAnsi="Arial" w:cs="Arial"/>
          <w:color w:val="32322F"/>
          <w:sz w:val="19"/>
          <w:szCs w:val="19"/>
          <w:lang w:val="en" w:eastAsia="en-NZ"/>
        </w:rPr>
      </w:pPr>
      <w:proofErr w:type="spellStart"/>
      <w:r w:rsidRPr="00936EB4">
        <w:rPr>
          <w:rFonts w:ascii="Arial" w:eastAsia="Times New Roman" w:hAnsi="Arial" w:cs="Arial"/>
          <w:b/>
          <w:bCs/>
          <w:color w:val="32322F"/>
          <w:sz w:val="19"/>
          <w:szCs w:val="19"/>
          <w:lang w:val="en" w:eastAsia="en-NZ"/>
        </w:rPr>
        <w:t>Tarlow</w:t>
      </w:r>
      <w:proofErr w:type="spellEnd"/>
      <w:r w:rsidRPr="00936EB4">
        <w:rPr>
          <w:rFonts w:ascii="Arial" w:eastAsia="Times New Roman" w:hAnsi="Arial" w:cs="Arial"/>
          <w:b/>
          <w:bCs/>
          <w:color w:val="32322F"/>
          <w:sz w:val="19"/>
          <w:szCs w:val="19"/>
          <w:lang w:val="en" w:eastAsia="en-NZ"/>
        </w:rPr>
        <w:t xml:space="preserve">, S and Stutz, </w:t>
      </w:r>
      <w:proofErr w:type="gramStart"/>
      <w:r w:rsidRPr="00936EB4">
        <w:rPr>
          <w:rFonts w:ascii="Arial" w:eastAsia="Times New Roman" w:hAnsi="Arial" w:cs="Arial"/>
          <w:b/>
          <w:bCs/>
          <w:color w:val="32322F"/>
          <w:sz w:val="19"/>
          <w:szCs w:val="19"/>
          <w:lang w:val="en" w:eastAsia="en-NZ"/>
        </w:rPr>
        <w:t>L  2013</w:t>
      </w:r>
      <w:proofErr w:type="gramEnd"/>
      <w:r w:rsidRPr="00936EB4">
        <w:rPr>
          <w:rFonts w:ascii="Arial" w:eastAsia="Times New Roman" w:hAnsi="Arial" w:cs="Arial"/>
          <w:b/>
          <w:bCs/>
          <w:color w:val="32322F"/>
          <w:sz w:val="19"/>
          <w:szCs w:val="19"/>
          <w:lang w:val="en" w:eastAsia="en-NZ"/>
        </w:rPr>
        <w:t xml:space="preserve">  </w:t>
      </w:r>
      <w:r w:rsidRPr="00936EB4">
        <w:rPr>
          <w:rFonts w:ascii="Arial" w:eastAsia="Times New Roman" w:hAnsi="Arial" w:cs="Arial"/>
          <w:color w:val="32322F"/>
          <w:sz w:val="19"/>
          <w:szCs w:val="19"/>
          <w:lang w:val="en" w:eastAsia="en-NZ"/>
        </w:rPr>
        <w:t xml:space="preserve">The Oxford handbook of the archaeology of death and burial / edited by Sarah </w:t>
      </w:r>
      <w:proofErr w:type="spellStart"/>
      <w:r w:rsidRPr="00936EB4">
        <w:rPr>
          <w:rFonts w:ascii="Arial" w:eastAsia="Times New Roman" w:hAnsi="Arial" w:cs="Arial"/>
          <w:color w:val="32322F"/>
          <w:sz w:val="19"/>
          <w:szCs w:val="19"/>
          <w:lang w:val="en" w:eastAsia="en-NZ"/>
        </w:rPr>
        <w:t>Tarlow</w:t>
      </w:r>
      <w:proofErr w:type="spellEnd"/>
      <w:r w:rsidRPr="00936EB4">
        <w:rPr>
          <w:rFonts w:ascii="Arial" w:eastAsia="Times New Roman" w:hAnsi="Arial" w:cs="Arial"/>
          <w:color w:val="32322F"/>
          <w:sz w:val="19"/>
          <w:szCs w:val="19"/>
          <w:lang w:val="en" w:eastAsia="en-NZ"/>
        </w:rPr>
        <w:t xml:space="preserve"> and Liv Nilsson Stutz</w:t>
      </w:r>
      <w:r w:rsidRPr="00936EB4">
        <w:rPr>
          <w:rFonts w:ascii="Arial" w:eastAsia="Times New Roman" w:hAnsi="Arial" w:cs="Arial"/>
          <w:b/>
          <w:bCs/>
          <w:color w:val="32322F"/>
          <w:sz w:val="19"/>
          <w:szCs w:val="19"/>
          <w:lang w:val="en" w:eastAsia="en-NZ"/>
        </w:rPr>
        <w:t xml:space="preserve"> </w:t>
      </w:r>
      <w:r w:rsidRPr="00936EB4">
        <w:rPr>
          <w:rFonts w:ascii="Arial" w:eastAsia="Times New Roman" w:hAnsi="Arial" w:cs="Arial"/>
          <w:color w:val="32322F"/>
          <w:sz w:val="19"/>
          <w:szCs w:val="19"/>
          <w:lang w:val="en" w:eastAsia="en-NZ"/>
        </w:rPr>
        <w:t xml:space="preserve">Oxford : Oxford University Press, 2013. </w:t>
      </w:r>
    </w:p>
    <w:p w14:paraId="0E0B2357" w14:textId="77777777" w:rsidR="00D12A57" w:rsidRPr="00B80DF3" w:rsidRDefault="00D12A57" w:rsidP="00D12A57">
      <w:pPr>
        <w:pStyle w:val="ListParagraph"/>
        <w:numPr>
          <w:ilvl w:val="0"/>
          <w:numId w:val="8"/>
        </w:numPr>
        <w:spacing w:after="0" w:line="240" w:lineRule="auto"/>
        <w:ind w:left="567" w:hanging="567"/>
        <w:rPr>
          <w:rFonts w:ascii="Arial" w:eastAsia="Times New Roman" w:hAnsi="Arial" w:cs="Arial"/>
          <w:color w:val="222222"/>
          <w:sz w:val="20"/>
          <w:szCs w:val="20"/>
          <w:lang w:eastAsia="en-NZ"/>
        </w:rPr>
      </w:pPr>
    </w:p>
    <w:p w14:paraId="5C57773A" w14:textId="77777777" w:rsidR="00D12A57" w:rsidRPr="00E00653" w:rsidRDefault="00D12A57" w:rsidP="00D12A57">
      <w:pPr>
        <w:pStyle w:val="ListParagraph"/>
        <w:numPr>
          <w:ilvl w:val="0"/>
          <w:numId w:val="8"/>
        </w:numPr>
        <w:spacing w:after="0" w:line="240" w:lineRule="auto"/>
        <w:ind w:left="567" w:hanging="567"/>
        <w:rPr>
          <w:rFonts w:ascii="Arial" w:eastAsia="Times New Roman" w:hAnsi="Arial" w:cs="Arial"/>
          <w:color w:val="222222"/>
          <w:sz w:val="20"/>
          <w:szCs w:val="20"/>
          <w:lang w:eastAsia="en-NZ"/>
        </w:rPr>
      </w:pPr>
    </w:p>
    <w:p w14:paraId="2285D5DF" w14:textId="77777777" w:rsidR="00D12A57" w:rsidRPr="001C7A23" w:rsidRDefault="00D12A57" w:rsidP="00D12A57">
      <w:pPr>
        <w:spacing w:after="0" w:line="240" w:lineRule="auto"/>
        <w:ind w:left="567" w:hanging="567"/>
        <w:rPr>
          <w:rFonts w:ascii="Arial" w:eastAsia="Times New Roman" w:hAnsi="Arial" w:cs="Arial"/>
          <w:color w:val="222222"/>
          <w:sz w:val="20"/>
          <w:szCs w:val="20"/>
          <w:lang w:eastAsia="en-NZ"/>
        </w:rPr>
      </w:pPr>
    </w:p>
    <w:p w14:paraId="036A91C6" w14:textId="77777777" w:rsidR="00D12A57" w:rsidRPr="001C7A23" w:rsidRDefault="00D12A57" w:rsidP="00D12A57">
      <w:pPr>
        <w:ind w:left="567" w:hanging="567"/>
      </w:pPr>
    </w:p>
    <w:p w14:paraId="31517826" w14:textId="77777777" w:rsidR="00D12A57" w:rsidRDefault="00D12A57" w:rsidP="00EC4BC8">
      <w:pPr>
        <w:spacing w:after="0"/>
        <w:rPr>
          <w:rFonts w:asciiTheme="majorHAnsi" w:hAnsiTheme="majorHAnsi"/>
          <w:b/>
          <w:sz w:val="28"/>
          <w:szCs w:val="28"/>
        </w:rPr>
      </w:pPr>
    </w:p>
    <w:p w14:paraId="7AFEF4C8" w14:textId="77777777" w:rsidR="00D12A57" w:rsidRDefault="00D12A57">
      <w:pPr>
        <w:rPr>
          <w:rFonts w:asciiTheme="majorHAnsi" w:hAnsiTheme="majorHAnsi"/>
          <w:b/>
          <w:sz w:val="28"/>
          <w:szCs w:val="28"/>
        </w:rPr>
      </w:pPr>
      <w:r>
        <w:rPr>
          <w:rFonts w:asciiTheme="majorHAnsi" w:hAnsiTheme="majorHAnsi"/>
          <w:b/>
          <w:sz w:val="28"/>
          <w:szCs w:val="28"/>
        </w:rPr>
        <w:br w:type="page"/>
      </w:r>
    </w:p>
    <w:p w14:paraId="3EAFCC81" w14:textId="2F9ED285" w:rsidR="00EE0054" w:rsidRDefault="00EE0054" w:rsidP="00EC4BC8">
      <w:pPr>
        <w:spacing w:after="0"/>
        <w:rPr>
          <w:rFonts w:asciiTheme="majorHAnsi" w:hAnsiTheme="majorHAnsi"/>
          <w:b/>
          <w:sz w:val="28"/>
          <w:szCs w:val="28"/>
        </w:rPr>
      </w:pPr>
      <w:r>
        <w:rPr>
          <w:rFonts w:asciiTheme="majorHAnsi" w:hAnsiTheme="majorHAnsi"/>
          <w:b/>
          <w:sz w:val="28"/>
          <w:szCs w:val="28"/>
        </w:rPr>
        <w:lastRenderedPageBreak/>
        <w:t>Assignment 2: Practical Lab Test</w:t>
      </w:r>
    </w:p>
    <w:p w14:paraId="270E127B" w14:textId="77777777" w:rsidR="00EE0054" w:rsidRDefault="00EE0054" w:rsidP="00EC4BC8">
      <w:pPr>
        <w:spacing w:after="0"/>
        <w:rPr>
          <w:rFonts w:asciiTheme="majorHAnsi" w:hAnsiTheme="majorHAnsi"/>
          <w:b/>
          <w:sz w:val="28"/>
          <w:szCs w:val="28"/>
        </w:rPr>
      </w:pPr>
    </w:p>
    <w:p w14:paraId="4D7AC6A3" w14:textId="77777777" w:rsidR="00D12A57" w:rsidRPr="00D12A57" w:rsidRDefault="00D12A57">
      <w:pPr>
        <w:rPr>
          <w:rFonts w:asciiTheme="majorHAnsi" w:hAnsiTheme="majorHAnsi"/>
          <w:sz w:val="28"/>
          <w:szCs w:val="28"/>
        </w:rPr>
      </w:pPr>
      <w:r w:rsidRPr="00D12A57">
        <w:rPr>
          <w:rFonts w:asciiTheme="majorHAnsi" w:hAnsiTheme="majorHAnsi"/>
          <w:sz w:val="28"/>
          <w:szCs w:val="28"/>
        </w:rPr>
        <w:t>HELD IN LABS IN WEEK 9</w:t>
      </w:r>
    </w:p>
    <w:p w14:paraId="67CFFFB6" w14:textId="7678974C" w:rsidR="00D12A57" w:rsidRPr="00D12A57" w:rsidRDefault="00D12A57">
      <w:pPr>
        <w:rPr>
          <w:rFonts w:asciiTheme="majorHAnsi" w:hAnsiTheme="majorHAnsi"/>
          <w:sz w:val="28"/>
          <w:szCs w:val="28"/>
        </w:rPr>
      </w:pPr>
      <w:r w:rsidRPr="00D12A57">
        <w:rPr>
          <w:rFonts w:asciiTheme="majorHAnsi" w:hAnsiTheme="majorHAnsi"/>
          <w:sz w:val="28"/>
          <w:szCs w:val="28"/>
        </w:rPr>
        <w:t>This 60 minute lab test will present you with a puzzle.</w:t>
      </w:r>
    </w:p>
    <w:p w14:paraId="4A9ECAA0" w14:textId="7C0112A1" w:rsidR="00D12A57" w:rsidRPr="00D12A57" w:rsidRDefault="00D12A57">
      <w:pPr>
        <w:rPr>
          <w:rFonts w:asciiTheme="majorHAnsi" w:hAnsiTheme="majorHAnsi"/>
          <w:sz w:val="28"/>
          <w:szCs w:val="28"/>
        </w:rPr>
      </w:pPr>
      <w:r w:rsidRPr="00D12A57">
        <w:rPr>
          <w:rFonts w:asciiTheme="majorHAnsi" w:hAnsiTheme="majorHAnsi"/>
          <w:sz w:val="28"/>
          <w:szCs w:val="28"/>
        </w:rPr>
        <w:t>Scenario: a collection of skeletal remains has just been unearthed at a crime scene.  You have been asked to help in the investigation of this material. Answer the questions below:</w:t>
      </w:r>
    </w:p>
    <w:p w14:paraId="0B2A9775" w14:textId="32ABB84B" w:rsidR="00D12A57" w:rsidRPr="00D12A57" w:rsidRDefault="00D12A57" w:rsidP="00D12A57">
      <w:pPr>
        <w:pStyle w:val="ListParagraph"/>
        <w:numPr>
          <w:ilvl w:val="0"/>
          <w:numId w:val="10"/>
        </w:numPr>
        <w:rPr>
          <w:rFonts w:asciiTheme="majorHAnsi" w:hAnsiTheme="majorHAnsi"/>
          <w:sz w:val="28"/>
          <w:szCs w:val="28"/>
        </w:rPr>
      </w:pPr>
      <w:r w:rsidRPr="00D12A57">
        <w:rPr>
          <w:rFonts w:asciiTheme="majorHAnsi" w:hAnsiTheme="majorHAnsi"/>
          <w:sz w:val="28"/>
          <w:szCs w:val="28"/>
        </w:rPr>
        <w:t>Is any of this skeletal material nonhuman? If so, which bone is nonhuman? Why do you think this?</w:t>
      </w:r>
    </w:p>
    <w:p w14:paraId="2B9C9FD0" w14:textId="762FC43E" w:rsidR="00D12A57" w:rsidRPr="00D12A57" w:rsidRDefault="00D12A57" w:rsidP="00D12A57">
      <w:pPr>
        <w:pStyle w:val="ListParagraph"/>
        <w:numPr>
          <w:ilvl w:val="0"/>
          <w:numId w:val="10"/>
        </w:numPr>
        <w:rPr>
          <w:rFonts w:asciiTheme="majorHAnsi" w:hAnsiTheme="majorHAnsi"/>
          <w:sz w:val="28"/>
          <w:szCs w:val="28"/>
        </w:rPr>
      </w:pPr>
      <w:r w:rsidRPr="00D12A57">
        <w:rPr>
          <w:rFonts w:asciiTheme="majorHAnsi" w:hAnsiTheme="majorHAnsi"/>
          <w:sz w:val="28"/>
          <w:szCs w:val="28"/>
        </w:rPr>
        <w:t>List all of the human skeletal elements, being as specific as possible.  What is the minimum number of individuals represented?</w:t>
      </w:r>
    </w:p>
    <w:p w14:paraId="424BC3BA" w14:textId="0AC531E1" w:rsidR="00D12A57" w:rsidRPr="00D12A57" w:rsidRDefault="00D12A57" w:rsidP="00D12A57">
      <w:pPr>
        <w:pStyle w:val="ListParagraph"/>
        <w:numPr>
          <w:ilvl w:val="0"/>
          <w:numId w:val="10"/>
        </w:numPr>
        <w:rPr>
          <w:rFonts w:asciiTheme="majorHAnsi" w:hAnsiTheme="majorHAnsi"/>
          <w:sz w:val="28"/>
          <w:szCs w:val="28"/>
        </w:rPr>
      </w:pPr>
      <w:r w:rsidRPr="00D12A57">
        <w:rPr>
          <w:rFonts w:asciiTheme="majorHAnsi" w:hAnsiTheme="majorHAnsi"/>
          <w:sz w:val="28"/>
          <w:szCs w:val="28"/>
        </w:rPr>
        <w:t>Can any of the skeletal material be used to determine the biological sex of the victim(s)? If so, which bone(s)? What is the sex you determined? What evidence supported that conclusion</w:t>
      </w:r>
    </w:p>
    <w:p w14:paraId="77F93344" w14:textId="6AFA31D3" w:rsidR="00D12A57" w:rsidRPr="00D12A57" w:rsidRDefault="00D12A57" w:rsidP="00D12A57">
      <w:pPr>
        <w:pStyle w:val="ListParagraph"/>
        <w:numPr>
          <w:ilvl w:val="0"/>
          <w:numId w:val="10"/>
        </w:numPr>
        <w:rPr>
          <w:rFonts w:asciiTheme="majorHAnsi" w:hAnsiTheme="majorHAnsi"/>
          <w:sz w:val="28"/>
          <w:szCs w:val="28"/>
        </w:rPr>
      </w:pPr>
      <w:r w:rsidRPr="00D12A57">
        <w:rPr>
          <w:rFonts w:asciiTheme="majorHAnsi" w:hAnsiTheme="majorHAnsi"/>
          <w:sz w:val="28"/>
          <w:szCs w:val="28"/>
        </w:rPr>
        <w:t>Based on the materials recovered, can you make any suggestions for future analyses you might use to further understand the circumstances surrounding the death of the victims(s)?</w:t>
      </w:r>
    </w:p>
    <w:p w14:paraId="46CF6424" w14:textId="77777777" w:rsidR="00D12A57" w:rsidRDefault="00D12A57">
      <w:pPr>
        <w:rPr>
          <w:rFonts w:asciiTheme="majorHAnsi" w:hAnsiTheme="majorHAnsi"/>
          <w:b/>
          <w:sz w:val="28"/>
          <w:szCs w:val="28"/>
        </w:rPr>
      </w:pPr>
      <w:r>
        <w:rPr>
          <w:rFonts w:asciiTheme="majorHAnsi" w:hAnsiTheme="majorHAnsi"/>
          <w:b/>
          <w:sz w:val="28"/>
          <w:szCs w:val="28"/>
        </w:rPr>
        <w:br w:type="page"/>
      </w:r>
    </w:p>
    <w:p w14:paraId="61E7B1DA" w14:textId="0B513E4A" w:rsidR="00EE0054" w:rsidRDefault="00EE0054" w:rsidP="00EC4BC8">
      <w:pPr>
        <w:spacing w:after="0"/>
        <w:rPr>
          <w:rFonts w:asciiTheme="majorHAnsi" w:hAnsiTheme="majorHAnsi"/>
          <w:b/>
          <w:sz w:val="28"/>
          <w:szCs w:val="28"/>
        </w:rPr>
      </w:pPr>
      <w:r>
        <w:rPr>
          <w:rFonts w:asciiTheme="majorHAnsi" w:hAnsiTheme="majorHAnsi"/>
          <w:b/>
          <w:sz w:val="28"/>
          <w:szCs w:val="28"/>
        </w:rPr>
        <w:lastRenderedPageBreak/>
        <w:t>Assignment 3: A code of practice for bioarchaeology in New Zealand.</w:t>
      </w:r>
    </w:p>
    <w:p w14:paraId="6221BE33" w14:textId="77777777" w:rsidR="00684D0C" w:rsidRDefault="00684D0C" w:rsidP="00EC4BC8">
      <w:pPr>
        <w:spacing w:after="0"/>
        <w:rPr>
          <w:rFonts w:asciiTheme="majorHAnsi" w:hAnsiTheme="majorHAnsi"/>
          <w:b/>
          <w:sz w:val="28"/>
          <w:szCs w:val="28"/>
        </w:rPr>
      </w:pPr>
    </w:p>
    <w:p w14:paraId="378E5315" w14:textId="77777777" w:rsidR="00684D0C" w:rsidRPr="00C57158" w:rsidRDefault="00684D0C" w:rsidP="00684D0C">
      <w:pPr>
        <w:jc w:val="center"/>
        <w:rPr>
          <w:rFonts w:ascii="Times New Roman" w:hAnsi="Times New Roman" w:cs="Times New Roman"/>
          <w:b/>
          <w:sz w:val="24"/>
          <w:szCs w:val="24"/>
        </w:rPr>
      </w:pPr>
      <w:proofErr w:type="spellStart"/>
      <w:r w:rsidRPr="00C57158">
        <w:rPr>
          <w:rFonts w:ascii="Times New Roman" w:hAnsi="Times New Roman" w:cs="Times New Roman"/>
          <w:b/>
          <w:sz w:val="24"/>
          <w:szCs w:val="24"/>
        </w:rPr>
        <w:t>Anthro</w:t>
      </w:r>
      <w:proofErr w:type="spellEnd"/>
      <w:r w:rsidRPr="00C57158">
        <w:rPr>
          <w:rFonts w:ascii="Times New Roman" w:hAnsi="Times New Roman" w:cs="Times New Roman"/>
          <w:b/>
          <w:sz w:val="24"/>
          <w:szCs w:val="24"/>
        </w:rPr>
        <w:t xml:space="preserve"> 235</w:t>
      </w:r>
    </w:p>
    <w:p w14:paraId="6A162C3C" w14:textId="3877DF68" w:rsidR="00684D0C" w:rsidRDefault="00684D0C" w:rsidP="00684D0C">
      <w:pPr>
        <w:jc w:val="center"/>
        <w:rPr>
          <w:rFonts w:ascii="Times New Roman" w:hAnsi="Times New Roman" w:cs="Times New Roman"/>
          <w:b/>
          <w:sz w:val="24"/>
          <w:szCs w:val="24"/>
        </w:rPr>
      </w:pPr>
      <w:r>
        <w:rPr>
          <w:rFonts w:ascii="Times New Roman" w:hAnsi="Times New Roman" w:cs="Times New Roman"/>
          <w:b/>
          <w:sz w:val="24"/>
          <w:szCs w:val="24"/>
        </w:rPr>
        <w:t xml:space="preserve">Assignment 3: </w:t>
      </w:r>
      <w:r>
        <w:rPr>
          <w:rFonts w:ascii="Times New Roman" w:hAnsi="Times New Roman" w:cs="Times New Roman"/>
          <w:b/>
          <w:sz w:val="24"/>
          <w:szCs w:val="24"/>
        </w:rPr>
        <w:t>A code of practice for bioarchaeology</w:t>
      </w:r>
    </w:p>
    <w:p w14:paraId="6FABF14E" w14:textId="77777777" w:rsidR="00684D0C" w:rsidRPr="00C57158" w:rsidRDefault="00684D0C" w:rsidP="00684D0C">
      <w:pPr>
        <w:jc w:val="center"/>
        <w:rPr>
          <w:rFonts w:ascii="Times New Roman" w:hAnsi="Times New Roman" w:cs="Times New Roman"/>
          <w:b/>
          <w:sz w:val="24"/>
          <w:szCs w:val="24"/>
        </w:rPr>
      </w:pPr>
      <w:r>
        <w:rPr>
          <w:rFonts w:ascii="Times New Roman" w:hAnsi="Times New Roman" w:cs="Times New Roman"/>
          <w:b/>
          <w:sz w:val="24"/>
          <w:szCs w:val="24"/>
        </w:rPr>
        <w:t>Date Due: 10 October, 3pm (submit onto CANVAS)</w:t>
      </w:r>
    </w:p>
    <w:p w14:paraId="325532AD" w14:textId="77777777" w:rsidR="00684D0C" w:rsidRPr="00C57158" w:rsidRDefault="00684D0C" w:rsidP="00684D0C">
      <w:pPr>
        <w:rPr>
          <w:rFonts w:ascii="Times New Roman" w:hAnsi="Times New Roman" w:cs="Times New Roman"/>
          <w:sz w:val="24"/>
          <w:szCs w:val="24"/>
        </w:rPr>
      </w:pPr>
      <w:r w:rsidRPr="00C57158">
        <w:rPr>
          <w:rFonts w:ascii="Times New Roman" w:hAnsi="Times New Roman" w:cs="Times New Roman"/>
          <w:sz w:val="24"/>
          <w:szCs w:val="24"/>
        </w:rPr>
        <w:t xml:space="preserve">In </w:t>
      </w:r>
      <w:proofErr w:type="spellStart"/>
      <w:r w:rsidRPr="00C57158">
        <w:rPr>
          <w:rFonts w:ascii="Times New Roman" w:hAnsi="Times New Roman" w:cs="Times New Roman"/>
          <w:sz w:val="24"/>
          <w:szCs w:val="24"/>
        </w:rPr>
        <w:t>Anthro</w:t>
      </w:r>
      <w:proofErr w:type="spellEnd"/>
      <w:r w:rsidRPr="00C57158">
        <w:rPr>
          <w:rFonts w:ascii="Times New Roman" w:hAnsi="Times New Roman" w:cs="Times New Roman"/>
          <w:sz w:val="24"/>
          <w:szCs w:val="24"/>
        </w:rPr>
        <w:t xml:space="preserve"> 235 we have made sure you do different sorts of writing and get a sense of how to produce independent description and research (Assignment 1), use first principles (Assignment 2) and in assignment 3 we are asking you to think practically again – this time preparing guidelines for professionals who work in the field about what to do when you find human remains in New Zealand.</w:t>
      </w:r>
    </w:p>
    <w:p w14:paraId="0985DBB6" w14:textId="77777777" w:rsidR="00684D0C" w:rsidRPr="00C57158" w:rsidRDefault="00684D0C" w:rsidP="00684D0C">
      <w:pPr>
        <w:rPr>
          <w:rFonts w:ascii="Times New Roman" w:hAnsi="Times New Roman" w:cs="Times New Roman"/>
          <w:sz w:val="24"/>
          <w:szCs w:val="24"/>
        </w:rPr>
      </w:pPr>
      <w:r w:rsidRPr="00C57158">
        <w:rPr>
          <w:rFonts w:ascii="Times New Roman" w:hAnsi="Times New Roman" w:cs="Times New Roman"/>
          <w:sz w:val="24"/>
          <w:szCs w:val="24"/>
        </w:rPr>
        <w:t>Good guidelines don’t just present a recipe book they tell people concrete information and they also explain why particular practices must be followed.  They are sufficiently open as a set of principles that they can be applied in any situation.  At the same time they are pithy and to the point (i.e. we are asking for 3 – 5 pages max.).  But what we want you to think about are:</w:t>
      </w:r>
    </w:p>
    <w:p w14:paraId="6F4A85D1" w14:textId="77777777" w:rsidR="00684D0C" w:rsidRPr="00C57158" w:rsidRDefault="00684D0C" w:rsidP="00684D0C">
      <w:pPr>
        <w:pStyle w:val="ListParagraph"/>
        <w:numPr>
          <w:ilvl w:val="0"/>
          <w:numId w:val="7"/>
        </w:numPr>
        <w:rPr>
          <w:rFonts w:ascii="Times New Roman" w:hAnsi="Times New Roman" w:cs="Times New Roman"/>
          <w:sz w:val="24"/>
          <w:szCs w:val="24"/>
        </w:rPr>
      </w:pPr>
      <w:r w:rsidRPr="00C57158">
        <w:rPr>
          <w:rFonts w:ascii="Times New Roman" w:hAnsi="Times New Roman" w:cs="Times New Roman"/>
          <w:sz w:val="24"/>
          <w:szCs w:val="24"/>
        </w:rPr>
        <w:t>Legal responsibilities</w:t>
      </w:r>
    </w:p>
    <w:p w14:paraId="18FCA5AE" w14:textId="77777777" w:rsidR="00684D0C" w:rsidRPr="00C57158" w:rsidRDefault="00684D0C" w:rsidP="00684D0C">
      <w:pPr>
        <w:pStyle w:val="ListParagraph"/>
        <w:numPr>
          <w:ilvl w:val="0"/>
          <w:numId w:val="7"/>
        </w:numPr>
        <w:rPr>
          <w:rFonts w:ascii="Times New Roman" w:hAnsi="Times New Roman" w:cs="Times New Roman"/>
          <w:sz w:val="24"/>
          <w:szCs w:val="24"/>
        </w:rPr>
      </w:pPr>
      <w:r w:rsidRPr="00C57158">
        <w:rPr>
          <w:rFonts w:ascii="Times New Roman" w:hAnsi="Times New Roman" w:cs="Times New Roman"/>
          <w:sz w:val="24"/>
          <w:szCs w:val="24"/>
        </w:rPr>
        <w:t>Ethical consideration</w:t>
      </w:r>
    </w:p>
    <w:p w14:paraId="2F6CB657" w14:textId="77777777" w:rsidR="00684D0C" w:rsidRPr="00C57158" w:rsidRDefault="00684D0C" w:rsidP="00684D0C">
      <w:pPr>
        <w:pStyle w:val="ListParagraph"/>
        <w:numPr>
          <w:ilvl w:val="0"/>
          <w:numId w:val="7"/>
        </w:numPr>
        <w:rPr>
          <w:rFonts w:ascii="Times New Roman" w:hAnsi="Times New Roman" w:cs="Times New Roman"/>
          <w:sz w:val="24"/>
          <w:szCs w:val="24"/>
        </w:rPr>
      </w:pPr>
      <w:r w:rsidRPr="00C57158">
        <w:rPr>
          <w:rFonts w:ascii="Times New Roman" w:hAnsi="Times New Roman" w:cs="Times New Roman"/>
          <w:sz w:val="24"/>
          <w:szCs w:val="24"/>
        </w:rPr>
        <w:t>Recording of context</w:t>
      </w:r>
    </w:p>
    <w:p w14:paraId="789BEEEF" w14:textId="77777777" w:rsidR="00684D0C" w:rsidRPr="00C57158" w:rsidRDefault="00684D0C" w:rsidP="00684D0C">
      <w:pPr>
        <w:pStyle w:val="ListParagraph"/>
        <w:numPr>
          <w:ilvl w:val="0"/>
          <w:numId w:val="7"/>
        </w:numPr>
        <w:rPr>
          <w:rFonts w:ascii="Times New Roman" w:hAnsi="Times New Roman" w:cs="Times New Roman"/>
          <w:sz w:val="24"/>
          <w:szCs w:val="24"/>
        </w:rPr>
      </w:pPr>
      <w:r w:rsidRPr="00C57158">
        <w:rPr>
          <w:rFonts w:ascii="Times New Roman" w:hAnsi="Times New Roman" w:cs="Times New Roman"/>
          <w:sz w:val="24"/>
          <w:szCs w:val="24"/>
        </w:rPr>
        <w:t>Recording of characteristics in the field (what can be said, what can’t be said)</w:t>
      </w:r>
    </w:p>
    <w:p w14:paraId="112A4408" w14:textId="77777777" w:rsidR="00684D0C" w:rsidRPr="00C57158" w:rsidRDefault="00684D0C" w:rsidP="00684D0C">
      <w:pPr>
        <w:pStyle w:val="ListParagraph"/>
        <w:numPr>
          <w:ilvl w:val="0"/>
          <w:numId w:val="7"/>
        </w:numPr>
        <w:rPr>
          <w:rFonts w:ascii="Times New Roman" w:hAnsi="Times New Roman" w:cs="Times New Roman"/>
          <w:sz w:val="24"/>
          <w:szCs w:val="24"/>
        </w:rPr>
      </w:pPr>
      <w:r w:rsidRPr="00C57158">
        <w:rPr>
          <w:rFonts w:ascii="Times New Roman" w:hAnsi="Times New Roman" w:cs="Times New Roman"/>
          <w:sz w:val="24"/>
          <w:szCs w:val="24"/>
        </w:rPr>
        <w:t>When might excavation of remains be recommended and what further analyses might be considered with what provisos.</w:t>
      </w:r>
    </w:p>
    <w:p w14:paraId="1D80AE77" w14:textId="77777777" w:rsidR="00684D0C" w:rsidRPr="00C57158" w:rsidRDefault="00684D0C" w:rsidP="00684D0C">
      <w:pPr>
        <w:rPr>
          <w:rFonts w:ascii="Times New Roman" w:hAnsi="Times New Roman" w:cs="Times New Roman"/>
          <w:sz w:val="24"/>
          <w:szCs w:val="24"/>
        </w:rPr>
      </w:pPr>
      <w:r w:rsidRPr="00C57158">
        <w:rPr>
          <w:rFonts w:ascii="Times New Roman" w:hAnsi="Times New Roman" w:cs="Times New Roman"/>
          <w:sz w:val="24"/>
          <w:szCs w:val="24"/>
        </w:rPr>
        <w:t>You are writing this for yourself and for other professionals in the field.  You are not writing it for specialists trained in osteology but for a normal archaeologist or police officer who comes across remains in the course of a normal day’s work.  This means that you can’t just make stuff up – references are essential as are explanations of why a particular recommendation is made.</w:t>
      </w:r>
    </w:p>
    <w:p w14:paraId="6CB1D09D" w14:textId="77777777" w:rsidR="00684D0C" w:rsidRPr="00C57158" w:rsidRDefault="00684D0C" w:rsidP="00684D0C">
      <w:pPr>
        <w:rPr>
          <w:rFonts w:ascii="Times New Roman" w:hAnsi="Times New Roman" w:cs="Times New Roman"/>
          <w:sz w:val="24"/>
          <w:szCs w:val="24"/>
        </w:rPr>
      </w:pPr>
      <w:r w:rsidRPr="00C57158">
        <w:rPr>
          <w:rFonts w:ascii="Times New Roman" w:hAnsi="Times New Roman" w:cs="Times New Roman"/>
          <w:sz w:val="24"/>
          <w:szCs w:val="24"/>
        </w:rPr>
        <w:t>The readings for Week 12 are relevant for this assignment as are these other sources and you could well find others:</w:t>
      </w:r>
    </w:p>
    <w:p w14:paraId="7C9CF883" w14:textId="77777777" w:rsidR="00684D0C" w:rsidRPr="00C57158" w:rsidRDefault="00684D0C" w:rsidP="00684D0C">
      <w:pPr>
        <w:spacing w:after="0" w:line="240" w:lineRule="auto"/>
        <w:rPr>
          <w:rFonts w:ascii="Times New Roman" w:eastAsia="Times New Roman" w:hAnsi="Times New Roman" w:cs="Times New Roman"/>
          <w:sz w:val="24"/>
          <w:szCs w:val="24"/>
          <w:lang w:eastAsia="en-NZ"/>
        </w:rPr>
      </w:pPr>
      <w:r w:rsidRPr="004C1F97">
        <w:rPr>
          <w:rFonts w:ascii="Times New Roman" w:eastAsia="Times New Roman" w:hAnsi="Times New Roman" w:cs="Times New Roman"/>
          <w:i/>
          <w:iCs/>
          <w:sz w:val="24"/>
          <w:szCs w:val="24"/>
          <w:lang w:eastAsia="en-NZ"/>
        </w:rPr>
        <w:t>Guidelines to the standards for recording human remains</w:t>
      </w:r>
      <w:r w:rsidRPr="004C1F97">
        <w:rPr>
          <w:rFonts w:ascii="Times New Roman" w:eastAsia="Times New Roman" w:hAnsi="Times New Roman" w:cs="Times New Roman"/>
          <w:sz w:val="24"/>
          <w:szCs w:val="24"/>
          <w:lang w:eastAsia="en-NZ"/>
        </w:rPr>
        <w:t>. BABAO, Department of Archaeology, University of Southampton, 2004.</w:t>
      </w:r>
      <w:r w:rsidRPr="00C57158">
        <w:rPr>
          <w:rFonts w:ascii="Times New Roman" w:eastAsia="Times New Roman" w:hAnsi="Times New Roman" w:cs="Times New Roman"/>
          <w:sz w:val="24"/>
          <w:szCs w:val="24"/>
          <w:lang w:eastAsia="en-NZ"/>
        </w:rPr>
        <w:t xml:space="preserve"> (Available online)</w:t>
      </w:r>
    </w:p>
    <w:p w14:paraId="2CF6C5EF" w14:textId="77777777" w:rsidR="00684D0C" w:rsidRPr="00C57158" w:rsidRDefault="00684D0C" w:rsidP="00684D0C">
      <w:pPr>
        <w:spacing w:after="0" w:line="240" w:lineRule="auto"/>
        <w:rPr>
          <w:rFonts w:ascii="Times New Roman" w:eastAsia="Times New Roman" w:hAnsi="Times New Roman" w:cs="Times New Roman"/>
          <w:sz w:val="24"/>
          <w:szCs w:val="24"/>
          <w:lang w:eastAsia="en-NZ"/>
        </w:rPr>
      </w:pPr>
    </w:p>
    <w:p w14:paraId="12141D8C" w14:textId="77777777" w:rsidR="00684D0C" w:rsidRPr="00C57158" w:rsidRDefault="00684D0C" w:rsidP="00684D0C">
      <w:pPr>
        <w:spacing w:after="0" w:line="240" w:lineRule="auto"/>
        <w:rPr>
          <w:rFonts w:ascii="Times New Roman" w:eastAsia="Times New Roman" w:hAnsi="Times New Roman" w:cs="Times New Roman"/>
          <w:sz w:val="24"/>
          <w:szCs w:val="24"/>
          <w:lang w:eastAsia="en-NZ"/>
        </w:rPr>
      </w:pPr>
      <w:r w:rsidRPr="00C57158">
        <w:rPr>
          <w:rFonts w:ascii="Times New Roman" w:eastAsia="Times New Roman" w:hAnsi="Times New Roman" w:cs="Times New Roman"/>
          <w:sz w:val="24"/>
          <w:szCs w:val="24"/>
          <w:lang w:eastAsia="en-NZ"/>
        </w:rPr>
        <w:t xml:space="preserve">York </w:t>
      </w:r>
      <w:proofErr w:type="spellStart"/>
      <w:r w:rsidRPr="00C57158">
        <w:rPr>
          <w:rFonts w:ascii="Times New Roman" w:eastAsia="Times New Roman" w:hAnsi="Times New Roman" w:cs="Times New Roman"/>
          <w:sz w:val="24"/>
          <w:szCs w:val="24"/>
          <w:lang w:eastAsia="en-NZ"/>
        </w:rPr>
        <w:t>Osteoarchaeology</w:t>
      </w:r>
      <w:proofErr w:type="spellEnd"/>
      <w:r w:rsidRPr="00C57158">
        <w:rPr>
          <w:rFonts w:ascii="Times New Roman" w:eastAsia="Times New Roman" w:hAnsi="Times New Roman" w:cs="Times New Roman"/>
          <w:sz w:val="24"/>
          <w:szCs w:val="24"/>
          <w:lang w:eastAsia="en-NZ"/>
        </w:rPr>
        <w:t xml:space="preserve"> has links to some of the British documents:</w:t>
      </w:r>
    </w:p>
    <w:p w14:paraId="28BE2E6C" w14:textId="77777777" w:rsidR="00684D0C" w:rsidRDefault="00684D0C" w:rsidP="00684D0C">
      <w:pPr>
        <w:spacing w:after="0" w:line="240" w:lineRule="auto"/>
        <w:rPr>
          <w:rStyle w:val="Hyperlink"/>
          <w:rFonts w:ascii="Times New Roman" w:eastAsia="Times New Roman" w:hAnsi="Times New Roman" w:cs="Times New Roman"/>
          <w:sz w:val="24"/>
          <w:szCs w:val="24"/>
          <w:lang w:eastAsia="en-NZ"/>
        </w:rPr>
      </w:pPr>
      <w:hyperlink r:id="rId10" w:history="1">
        <w:r w:rsidRPr="00C57158">
          <w:rPr>
            <w:rStyle w:val="Hyperlink"/>
            <w:rFonts w:ascii="Times New Roman" w:eastAsia="Times New Roman" w:hAnsi="Times New Roman" w:cs="Times New Roman"/>
            <w:sz w:val="24"/>
            <w:szCs w:val="24"/>
            <w:lang w:eastAsia="en-NZ"/>
          </w:rPr>
          <w:t>http://www.yorkosteoarch.co.uk/guide.php</w:t>
        </w:r>
      </w:hyperlink>
    </w:p>
    <w:p w14:paraId="7EF41F62" w14:textId="77777777" w:rsidR="000013E9" w:rsidRDefault="000013E9" w:rsidP="00684D0C">
      <w:pPr>
        <w:spacing w:after="0" w:line="240" w:lineRule="auto"/>
        <w:rPr>
          <w:rStyle w:val="Hyperlink"/>
          <w:rFonts w:ascii="Times New Roman" w:eastAsia="Times New Roman" w:hAnsi="Times New Roman" w:cs="Times New Roman"/>
          <w:sz w:val="24"/>
          <w:szCs w:val="24"/>
          <w:lang w:eastAsia="en-NZ"/>
        </w:rPr>
      </w:pPr>
    </w:p>
    <w:p w14:paraId="7664F81F" w14:textId="34A801C7" w:rsidR="000013E9" w:rsidRPr="00C57158" w:rsidRDefault="000013E9" w:rsidP="00684D0C">
      <w:pPr>
        <w:spacing w:after="0" w:line="240" w:lineRule="auto"/>
        <w:rPr>
          <w:rFonts w:ascii="Times New Roman" w:eastAsia="Times New Roman" w:hAnsi="Times New Roman" w:cs="Times New Roman"/>
          <w:sz w:val="24"/>
          <w:szCs w:val="24"/>
          <w:lang w:eastAsia="en-NZ"/>
        </w:rPr>
      </w:pPr>
      <w:r w:rsidRPr="000013E9">
        <w:rPr>
          <w:rStyle w:val="Hyperlink"/>
          <w:rFonts w:ascii="Times New Roman" w:eastAsia="Times New Roman" w:hAnsi="Times New Roman" w:cs="Times New Roman"/>
          <w:color w:val="auto"/>
          <w:sz w:val="24"/>
          <w:szCs w:val="24"/>
          <w:u w:val="none"/>
          <w:lang w:eastAsia="en-NZ"/>
        </w:rPr>
        <w:t xml:space="preserve">British forensic anthropology code of </w:t>
      </w:r>
      <w:proofErr w:type="gramStart"/>
      <w:r w:rsidRPr="000013E9">
        <w:rPr>
          <w:rStyle w:val="Hyperlink"/>
          <w:rFonts w:ascii="Times New Roman" w:eastAsia="Times New Roman" w:hAnsi="Times New Roman" w:cs="Times New Roman"/>
          <w:color w:val="auto"/>
          <w:sz w:val="24"/>
          <w:szCs w:val="24"/>
          <w:u w:val="none"/>
          <w:lang w:eastAsia="en-NZ"/>
        </w:rPr>
        <w:t>practice</w:t>
      </w:r>
      <w:r w:rsidRPr="000013E9">
        <w:rPr>
          <w:rStyle w:val="Hyperlink"/>
          <w:rFonts w:ascii="Times New Roman" w:eastAsia="Times New Roman" w:hAnsi="Times New Roman" w:cs="Times New Roman"/>
          <w:color w:val="auto"/>
          <w:sz w:val="24"/>
          <w:szCs w:val="24"/>
          <w:lang w:eastAsia="en-NZ"/>
        </w:rPr>
        <w:t xml:space="preserve">  </w:t>
      </w:r>
      <w:proofErr w:type="gramEnd"/>
      <w:r>
        <w:rPr>
          <w:rFonts w:eastAsia="Times New Roman"/>
        </w:rPr>
        <w:fldChar w:fldCharType="begin"/>
      </w:r>
      <w:r>
        <w:rPr>
          <w:rFonts w:eastAsia="Times New Roman"/>
        </w:rPr>
        <w:instrText xml:space="preserve"> HYPERLINK "https://therai.us7.list-manage.com/track/click?u=94e3bf4c82be9b8d19299eb8a&amp;id=e6e6d85b84&amp;e=da31f07cd0" \t "_blank" </w:instrText>
      </w:r>
      <w:r>
        <w:rPr>
          <w:rFonts w:eastAsia="Times New Roman"/>
        </w:rPr>
        <w:fldChar w:fldCharType="separate"/>
      </w:r>
      <w:r>
        <w:rPr>
          <w:rStyle w:val="Hyperlink"/>
          <w:rFonts w:eastAsia="Times New Roman"/>
          <w:color w:val="336699"/>
        </w:rPr>
        <w:t>www.gov.uk/government/publications/forensic-anthropology-code-of-practice</w:t>
      </w:r>
      <w:r>
        <w:rPr>
          <w:rFonts w:eastAsia="Times New Roman"/>
        </w:rPr>
        <w:fldChar w:fldCharType="end"/>
      </w:r>
      <w:r>
        <w:rPr>
          <w:rFonts w:eastAsia="Times New Roman"/>
        </w:rPr>
        <w:br/>
      </w:r>
    </w:p>
    <w:p w14:paraId="23079F4E" w14:textId="77777777" w:rsidR="00684D0C" w:rsidRPr="00C57158" w:rsidRDefault="00684D0C" w:rsidP="00684D0C">
      <w:pPr>
        <w:spacing w:after="0" w:line="240" w:lineRule="auto"/>
        <w:rPr>
          <w:rFonts w:ascii="Times New Roman" w:eastAsia="Times New Roman" w:hAnsi="Times New Roman" w:cs="Times New Roman"/>
          <w:sz w:val="24"/>
          <w:szCs w:val="24"/>
          <w:lang w:eastAsia="en-NZ"/>
        </w:rPr>
      </w:pPr>
    </w:p>
    <w:p w14:paraId="76774468" w14:textId="58A85849" w:rsidR="00684D0C" w:rsidRPr="00C57158" w:rsidRDefault="00684D0C" w:rsidP="00684D0C">
      <w:pPr>
        <w:spacing w:after="0" w:line="240" w:lineRule="auto"/>
        <w:rPr>
          <w:rFonts w:ascii="Times New Roman" w:eastAsia="Times New Roman" w:hAnsi="Times New Roman" w:cs="Times New Roman"/>
          <w:sz w:val="24"/>
          <w:szCs w:val="24"/>
          <w:lang w:eastAsia="en-NZ"/>
        </w:rPr>
      </w:pPr>
      <w:r w:rsidRPr="00C57158">
        <w:rPr>
          <w:rFonts w:ascii="Times New Roman" w:eastAsia="Times New Roman" w:hAnsi="Times New Roman" w:cs="Times New Roman"/>
          <w:sz w:val="24"/>
          <w:szCs w:val="24"/>
          <w:lang w:eastAsia="en-NZ"/>
        </w:rPr>
        <w:t xml:space="preserve">And I will put up on </w:t>
      </w:r>
      <w:r w:rsidR="000013E9">
        <w:rPr>
          <w:rFonts w:ascii="Times New Roman" w:eastAsia="Times New Roman" w:hAnsi="Times New Roman" w:cs="Times New Roman"/>
          <w:sz w:val="24"/>
          <w:szCs w:val="24"/>
          <w:lang w:eastAsia="en-NZ"/>
        </w:rPr>
        <w:t>CANVAS</w:t>
      </w:r>
      <w:r w:rsidRPr="00C57158">
        <w:rPr>
          <w:rFonts w:ascii="Times New Roman" w:eastAsia="Times New Roman" w:hAnsi="Times New Roman" w:cs="Times New Roman"/>
          <w:sz w:val="24"/>
          <w:szCs w:val="24"/>
          <w:lang w:eastAsia="en-NZ"/>
        </w:rPr>
        <w:t xml:space="preserve"> a document that Christina Johnston and I put together for practising archaeologists.</w:t>
      </w:r>
    </w:p>
    <w:p w14:paraId="58883826" w14:textId="77777777" w:rsidR="00684D0C" w:rsidRPr="00C57158" w:rsidRDefault="00684D0C" w:rsidP="00684D0C">
      <w:pPr>
        <w:spacing w:after="0" w:line="240" w:lineRule="auto"/>
        <w:rPr>
          <w:rFonts w:ascii="Times New Roman" w:eastAsia="Times New Roman" w:hAnsi="Times New Roman" w:cs="Times New Roman"/>
          <w:sz w:val="24"/>
          <w:szCs w:val="24"/>
          <w:lang w:eastAsia="en-NZ"/>
        </w:rPr>
      </w:pPr>
    </w:p>
    <w:p w14:paraId="7CDEF912" w14:textId="77777777" w:rsidR="00684D0C" w:rsidRPr="00C57158" w:rsidRDefault="00684D0C" w:rsidP="00684D0C">
      <w:pPr>
        <w:spacing w:after="0" w:line="240" w:lineRule="auto"/>
        <w:rPr>
          <w:rFonts w:ascii="Times New Roman" w:eastAsia="Times New Roman" w:hAnsi="Times New Roman" w:cs="Times New Roman"/>
          <w:sz w:val="24"/>
          <w:szCs w:val="24"/>
          <w:lang w:eastAsia="en-NZ"/>
        </w:rPr>
      </w:pPr>
    </w:p>
    <w:p w14:paraId="11061DA1" w14:textId="77777777" w:rsidR="00684D0C" w:rsidRPr="004C1F97" w:rsidRDefault="00684D0C" w:rsidP="00684D0C">
      <w:pPr>
        <w:spacing w:after="0" w:line="240" w:lineRule="auto"/>
        <w:rPr>
          <w:rFonts w:ascii="Times New Roman" w:eastAsia="Times New Roman" w:hAnsi="Times New Roman" w:cs="Times New Roman"/>
          <w:sz w:val="24"/>
          <w:szCs w:val="24"/>
          <w:lang w:eastAsia="en-NZ"/>
        </w:rPr>
      </w:pPr>
    </w:p>
    <w:p w14:paraId="438A9BF8" w14:textId="77777777" w:rsidR="00684D0C" w:rsidRDefault="00684D0C" w:rsidP="00EC4BC8">
      <w:pPr>
        <w:spacing w:after="0"/>
        <w:rPr>
          <w:rFonts w:asciiTheme="majorHAnsi" w:hAnsiTheme="majorHAnsi"/>
          <w:b/>
          <w:sz w:val="28"/>
          <w:szCs w:val="28"/>
        </w:rPr>
      </w:pPr>
    </w:p>
    <w:p w14:paraId="0E7E4FDB" w14:textId="77777777" w:rsidR="00EE0054" w:rsidRPr="00EE0054" w:rsidRDefault="00EE0054" w:rsidP="00EC4BC8">
      <w:pPr>
        <w:spacing w:after="0"/>
        <w:rPr>
          <w:rFonts w:asciiTheme="majorHAnsi" w:hAnsiTheme="majorHAnsi"/>
          <w:b/>
          <w:sz w:val="28"/>
          <w:szCs w:val="28"/>
        </w:rPr>
      </w:pPr>
    </w:p>
    <w:p w14:paraId="344C6A00" w14:textId="77777777" w:rsidR="00EC4BC8" w:rsidRDefault="00EC4BC8" w:rsidP="00EC4BC8">
      <w:pPr>
        <w:spacing w:after="0"/>
        <w:rPr>
          <w:rFonts w:asciiTheme="majorHAnsi" w:hAnsiTheme="majorHAnsi"/>
          <w:b/>
          <w:sz w:val="28"/>
          <w:szCs w:val="28"/>
        </w:rPr>
      </w:pPr>
      <w:r>
        <w:rPr>
          <w:rFonts w:asciiTheme="majorHAnsi" w:hAnsiTheme="majorHAnsi"/>
          <w:b/>
          <w:sz w:val="28"/>
          <w:szCs w:val="28"/>
        </w:rPr>
        <w:t>Plagiarism</w:t>
      </w:r>
    </w:p>
    <w:p w14:paraId="728B4881" w14:textId="77777777" w:rsidR="00A959D2" w:rsidRDefault="00A959D2" w:rsidP="00EC4BC8">
      <w:pPr>
        <w:spacing w:after="0"/>
      </w:pPr>
      <w:r>
        <w:t xml:space="preserve">The University of Auckland will not tolerate cheating, or assisting others to cheat, and views cheating in coursework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 Your attention is also drawn to the University of Auckland’s position on Academic Honesty and Plagiarism, and to specific guidelines for the Conduct of Coursework and Conduct of Research. This information can be found on the University’s website at: </w:t>
      </w:r>
    </w:p>
    <w:p w14:paraId="64697A24" w14:textId="77777777" w:rsidR="00A959D2" w:rsidRDefault="00A959D2" w:rsidP="00EC4BC8">
      <w:pPr>
        <w:spacing w:after="0"/>
      </w:pPr>
      <w:r w:rsidRPr="00A959D2">
        <w:t xml:space="preserve">https://www.auckland.ac.nz/en/about/the-university/how-university-works/policy-and-administration/teaching-and-learning/students/academic-conduct-statute.html </w:t>
      </w:r>
      <w:r>
        <w:t xml:space="preserve"> </w:t>
      </w:r>
    </w:p>
    <w:p w14:paraId="3D7FABE4" w14:textId="77777777" w:rsidR="00A959D2" w:rsidRDefault="00A959D2" w:rsidP="00EC4BC8">
      <w:pPr>
        <w:spacing w:after="0"/>
      </w:pPr>
    </w:p>
    <w:p w14:paraId="65F22A7C" w14:textId="77777777" w:rsidR="00996744" w:rsidRPr="00B20FD2" w:rsidRDefault="007F3DA8" w:rsidP="00FC1FA6">
      <w:pPr>
        <w:spacing w:after="0"/>
        <w:jc w:val="both"/>
        <w:rPr>
          <w:rFonts w:asciiTheme="majorHAnsi" w:hAnsiTheme="majorHAnsi"/>
          <w:b/>
          <w:sz w:val="28"/>
          <w:szCs w:val="28"/>
        </w:rPr>
      </w:pPr>
      <w:r w:rsidRPr="00B20FD2">
        <w:rPr>
          <w:rFonts w:asciiTheme="majorHAnsi" w:hAnsiTheme="majorHAnsi"/>
          <w:b/>
          <w:sz w:val="28"/>
          <w:szCs w:val="28"/>
        </w:rPr>
        <w:t>Due dates, late work</w:t>
      </w:r>
    </w:p>
    <w:p w14:paraId="1654BD07" w14:textId="26F5378E" w:rsidR="007F3DA8" w:rsidRPr="000013E9" w:rsidRDefault="007F3DA8" w:rsidP="00FC1FA6">
      <w:pPr>
        <w:spacing w:after="0"/>
        <w:jc w:val="both"/>
        <w:rPr>
          <w:b/>
          <w:sz w:val="28"/>
          <w:szCs w:val="28"/>
        </w:rPr>
      </w:pPr>
      <w:r w:rsidRPr="000013E9">
        <w:rPr>
          <w:b/>
          <w:sz w:val="28"/>
          <w:szCs w:val="28"/>
        </w:rPr>
        <w:t xml:space="preserve">All coursework </w:t>
      </w:r>
      <w:r w:rsidR="000013E9" w:rsidRPr="000013E9">
        <w:rPr>
          <w:b/>
          <w:sz w:val="28"/>
          <w:szCs w:val="28"/>
        </w:rPr>
        <w:t>should</w:t>
      </w:r>
      <w:r w:rsidRPr="000013E9">
        <w:rPr>
          <w:b/>
          <w:sz w:val="28"/>
          <w:szCs w:val="28"/>
        </w:rPr>
        <w:t xml:space="preserve"> be submitted by the due date and time. </w:t>
      </w:r>
      <w:r w:rsidR="00EE0054" w:rsidRPr="000013E9">
        <w:rPr>
          <w:b/>
          <w:sz w:val="28"/>
          <w:szCs w:val="28"/>
        </w:rPr>
        <w:t xml:space="preserve">IF YOU ARE ILL OR HAVE SOME OTHER FORM OF EMERGENCY THEN CONTACT JUDITH AS EARLY AS POSSIBLE TO ARRANGE AN EXTENSION. </w:t>
      </w:r>
      <w:r w:rsidR="000013E9" w:rsidRPr="000013E9">
        <w:rPr>
          <w:rFonts w:ascii="Cambria" w:hAnsi="Cambria"/>
          <w:b/>
          <w:sz w:val="28"/>
          <w:szCs w:val="28"/>
          <w:lang w:val="en-GB"/>
        </w:rPr>
        <w:t>A</w:t>
      </w:r>
      <w:r w:rsidR="000013E9" w:rsidRPr="000013E9">
        <w:rPr>
          <w:rFonts w:ascii="Cambria" w:hAnsi="Cambria"/>
          <w:b/>
          <w:sz w:val="28"/>
          <w:szCs w:val="28"/>
          <w:lang w:val="en-GB"/>
        </w:rPr>
        <w:t>ssignments will be accepted up to 48 hours late, with a penalty of 10% points per 24-hour period.</w:t>
      </w:r>
    </w:p>
    <w:p w14:paraId="4BE4712F" w14:textId="77777777" w:rsidR="00FC1FA6" w:rsidRDefault="00FC1FA6" w:rsidP="00FC1FA6">
      <w:pPr>
        <w:spacing w:after="0"/>
        <w:jc w:val="both"/>
      </w:pPr>
    </w:p>
    <w:p w14:paraId="15D70865" w14:textId="77777777" w:rsidR="007F3DA8" w:rsidRPr="00FC1FA6" w:rsidRDefault="007F3DA8" w:rsidP="00FC1FA6">
      <w:pPr>
        <w:spacing w:after="0"/>
        <w:jc w:val="both"/>
        <w:rPr>
          <w:rFonts w:asciiTheme="majorHAnsi" w:hAnsiTheme="majorHAnsi"/>
          <w:b/>
          <w:sz w:val="28"/>
          <w:szCs w:val="28"/>
        </w:rPr>
      </w:pPr>
      <w:r w:rsidRPr="00FC1FA6">
        <w:rPr>
          <w:rFonts w:asciiTheme="majorHAnsi" w:hAnsiTheme="majorHAnsi"/>
          <w:b/>
          <w:sz w:val="28"/>
          <w:szCs w:val="28"/>
        </w:rPr>
        <w:t>Attendance</w:t>
      </w:r>
    </w:p>
    <w:p w14:paraId="7569C8E1" w14:textId="77777777" w:rsidR="007F3DA8" w:rsidRDefault="007F3DA8" w:rsidP="00FC1FA6">
      <w:pPr>
        <w:spacing w:after="0"/>
        <w:jc w:val="both"/>
      </w:pPr>
      <w:r>
        <w:t xml:space="preserve">University courses are about learning a wealth of material in a short period of time, with the goal being able to think critically about the topic at hand. Therefore, attendance at lectures will generally increase your ability to understand the course material. Lecture recordings, while undertaken, are not a replacement for attendance. </w:t>
      </w:r>
    </w:p>
    <w:p w14:paraId="764C56CC" w14:textId="38D19077" w:rsidR="007F3DA8" w:rsidRDefault="007F3DA8" w:rsidP="00FC1FA6">
      <w:pPr>
        <w:spacing w:after="0"/>
        <w:jc w:val="both"/>
        <w:rPr>
          <w:b/>
        </w:rPr>
      </w:pPr>
      <w:r>
        <w:t>Labs are designed to get you practicing what you have learnt in a small, hands-on environment to facilitate your comprehension of the material. As such, each student is enrolled in a lab class which will run from Week 2 of the cla</w:t>
      </w:r>
      <w:r w:rsidR="00EE0054">
        <w:t>ss. These are compulsory since 6</w:t>
      </w:r>
      <w:r>
        <w:t xml:space="preserve">0% of your marks comes from work undertaken </w:t>
      </w:r>
      <w:r w:rsidR="00EE0054">
        <w:t xml:space="preserve">or discussed </w:t>
      </w:r>
      <w:r>
        <w:t xml:space="preserve">in these classes. </w:t>
      </w:r>
    </w:p>
    <w:p w14:paraId="69AAC213" w14:textId="77777777" w:rsidR="00FC1FA6" w:rsidRDefault="00FC1FA6" w:rsidP="00FC1FA6">
      <w:pPr>
        <w:spacing w:after="0"/>
        <w:jc w:val="both"/>
      </w:pPr>
    </w:p>
    <w:p w14:paraId="56E43761" w14:textId="77777777" w:rsidR="007F3DA8" w:rsidRPr="00FC1FA6" w:rsidRDefault="007F3DA8" w:rsidP="00FC1FA6">
      <w:pPr>
        <w:spacing w:after="0"/>
        <w:jc w:val="both"/>
        <w:rPr>
          <w:rFonts w:asciiTheme="majorHAnsi" w:hAnsiTheme="majorHAnsi"/>
          <w:b/>
          <w:sz w:val="28"/>
          <w:szCs w:val="28"/>
        </w:rPr>
      </w:pPr>
      <w:r w:rsidRPr="00FC1FA6">
        <w:rPr>
          <w:rFonts w:asciiTheme="majorHAnsi" w:hAnsiTheme="majorHAnsi"/>
          <w:b/>
          <w:sz w:val="28"/>
          <w:szCs w:val="28"/>
        </w:rPr>
        <w:t>Having Problems?</w:t>
      </w:r>
    </w:p>
    <w:p w14:paraId="0C2D7456" w14:textId="37F4BA00" w:rsidR="007F3DA8" w:rsidRDefault="007F3DA8" w:rsidP="00FC1FA6">
      <w:pPr>
        <w:spacing w:after="0"/>
        <w:jc w:val="both"/>
      </w:pPr>
      <w:r>
        <w:t xml:space="preserve">University work is difficult and sometimes life gets in the way. The main thing is don’t let issues compound. Adopt as a matter of course the practice of talking to </w:t>
      </w:r>
      <w:r w:rsidRPr="008F626F">
        <w:t>Ju</w:t>
      </w:r>
      <w:r w:rsidR="00EE0054">
        <w:t>dith and Caitlin</w:t>
      </w:r>
      <w:r>
        <w:t xml:space="preserve"> during your labs, during our office hours, seeing </w:t>
      </w:r>
      <w:r w:rsidR="00EE0054">
        <w:t>us</w:t>
      </w:r>
      <w:r>
        <w:t xml:space="preserve"> not just when things are wrong but when things are going right. At all times come and see us (contact details next page) as soon as things start to slide. We are interested</w:t>
      </w:r>
      <w:r w:rsidR="00F201C4">
        <w:t xml:space="preserve"> in ensuring that you all do well in this course to take advantage of us and our expertise.</w:t>
      </w:r>
    </w:p>
    <w:p w14:paraId="46D4B087" w14:textId="77777777" w:rsidR="008F626F" w:rsidRPr="008F626F" w:rsidRDefault="00F201C4" w:rsidP="00FC1FA6">
      <w:pPr>
        <w:spacing w:after="0"/>
        <w:jc w:val="both"/>
      </w:pPr>
      <w:r>
        <w:t xml:space="preserve">If you need help with developing your writing skills or your ability to take effective notes, sign up with the Student Learning Centre. The Student Learning Centre is located in Room 320 of the Kate Edger Information Commons, and their hours </w:t>
      </w:r>
      <w:r w:rsidRPr="006D0BD5">
        <w:t>a</w:t>
      </w:r>
      <w:r w:rsidR="006D0BD5">
        <w:t>r</w:t>
      </w:r>
      <w:r w:rsidRPr="006D0BD5">
        <w:t>e 9am to 5pm, Monday to Friday. More</w:t>
      </w:r>
      <w:r>
        <w:t xml:space="preserve"> information about their workshops and other services can be found online at </w:t>
      </w:r>
      <w:hyperlink r:id="rId11" w:history="1">
        <w:r w:rsidRPr="00564789">
          <w:rPr>
            <w:rStyle w:val="Hyperlink"/>
          </w:rPr>
          <w:t>www.library.auckland.ac.nz/student-learing/</w:t>
        </w:r>
      </w:hyperlink>
      <w:r>
        <w:t xml:space="preserve">. You might also wish to go to the English Language </w:t>
      </w:r>
      <w:r w:rsidR="008F626F">
        <w:t>Enrichment</w:t>
      </w:r>
      <w:r>
        <w:t xml:space="preserve"> (EL</w:t>
      </w:r>
      <w:r w:rsidR="008F626F">
        <w:t>E</w:t>
      </w:r>
      <w:r>
        <w:t>) in the Kate Edger Information Commons.</w:t>
      </w:r>
      <w:r w:rsidR="008F626F">
        <w:t xml:space="preserve"> They state </w:t>
      </w:r>
      <w:r w:rsidR="008F626F" w:rsidRPr="008F626F">
        <w:t>“</w:t>
      </w:r>
      <w:r w:rsidRPr="008F626F">
        <w:t xml:space="preserve"> </w:t>
      </w:r>
      <w:r w:rsidR="008F626F" w:rsidRPr="008F626F">
        <w:rPr>
          <w:color w:val="000000"/>
          <w:shd w:val="clear" w:color="auto" w:fill="FFFFFF"/>
        </w:rPr>
        <w:t xml:space="preserve">If you think your English is holding you back from getting better grades, communicating effectively or participating confidently in university life, ELE on campus is a great place to be. You can use English language resources (DVDs, CDs, digital recordings, magazines, newspapers </w:t>
      </w:r>
      <w:r w:rsidR="008F626F" w:rsidRPr="008F626F">
        <w:rPr>
          <w:color w:val="000000"/>
          <w:shd w:val="clear" w:color="auto" w:fill="FFFFFF"/>
        </w:rPr>
        <w:lastRenderedPageBreak/>
        <w:t>and books),</w:t>
      </w:r>
      <w:r w:rsidR="008F626F" w:rsidRPr="008F626F">
        <w:rPr>
          <w:rStyle w:val="apple-converted-space"/>
          <w:color w:val="000000"/>
          <w:shd w:val="clear" w:color="auto" w:fill="FFFFFF"/>
        </w:rPr>
        <w:t> </w:t>
      </w:r>
      <w:hyperlink r:id="rId12" w:history="1">
        <w:r w:rsidR="008F626F" w:rsidRPr="008F626F">
          <w:rPr>
            <w:rStyle w:val="Hyperlink"/>
            <w:color w:val="6699CC"/>
            <w:shd w:val="clear" w:color="auto" w:fill="FFFFFF"/>
          </w:rPr>
          <w:t>get advice about your English</w:t>
        </w:r>
      </w:hyperlink>
      <w:r w:rsidR="008F626F" w:rsidRPr="008F626F">
        <w:rPr>
          <w:rStyle w:val="apple-converted-space"/>
          <w:color w:val="000000"/>
          <w:shd w:val="clear" w:color="auto" w:fill="FFFFFF"/>
        </w:rPr>
        <w:t> </w:t>
      </w:r>
      <w:r w:rsidR="008F626F" w:rsidRPr="008F626F">
        <w:rPr>
          <w:color w:val="000000"/>
          <w:shd w:val="clear" w:color="auto" w:fill="FFFFFF"/>
        </w:rPr>
        <w:t>(whatever your subject area), and participate in</w:t>
      </w:r>
      <w:r w:rsidR="008F626F" w:rsidRPr="008F626F">
        <w:rPr>
          <w:rStyle w:val="apple-converted-space"/>
          <w:color w:val="000000"/>
          <w:shd w:val="clear" w:color="auto" w:fill="FFFFFF"/>
        </w:rPr>
        <w:t> </w:t>
      </w:r>
      <w:hyperlink r:id="rId13" w:history="1">
        <w:r w:rsidR="008F626F" w:rsidRPr="008F626F">
          <w:rPr>
            <w:rStyle w:val="Hyperlink"/>
            <w:color w:val="6699CC"/>
            <w:shd w:val="clear" w:color="auto" w:fill="FFFFFF"/>
          </w:rPr>
          <w:t>language learning groups</w:t>
        </w:r>
      </w:hyperlink>
      <w:r w:rsidR="008F626F" w:rsidRPr="008F626F">
        <w:rPr>
          <w:color w:val="000000"/>
          <w:shd w:val="clear" w:color="auto" w:fill="FFFFFF"/>
        </w:rPr>
        <w:t>. You can also use ELE computers in any way that supports your English language development”.</w:t>
      </w:r>
    </w:p>
    <w:p w14:paraId="6885081A" w14:textId="77777777" w:rsidR="00F201C4" w:rsidRDefault="00F201C4" w:rsidP="00FC1FA6">
      <w:pPr>
        <w:spacing w:after="0"/>
        <w:jc w:val="both"/>
        <w:rPr>
          <w:b/>
        </w:rPr>
      </w:pPr>
      <w:proofErr w:type="spellStart"/>
      <w:r>
        <w:rPr>
          <w:b/>
        </w:rPr>
        <w:t>Tuakana</w:t>
      </w:r>
      <w:proofErr w:type="spellEnd"/>
      <w:r>
        <w:rPr>
          <w:b/>
        </w:rPr>
        <w:t xml:space="preserve"> Arts Undergraduate Mentoring Programme</w:t>
      </w:r>
    </w:p>
    <w:p w14:paraId="5294BE36" w14:textId="77777777" w:rsidR="00F201C4" w:rsidRDefault="00F201C4" w:rsidP="00FC1FA6">
      <w:pPr>
        <w:spacing w:after="0"/>
        <w:jc w:val="both"/>
      </w:pPr>
      <w:proofErr w:type="spellStart"/>
      <w:r>
        <w:t>Tuakana</w:t>
      </w:r>
      <w:proofErr w:type="spellEnd"/>
      <w:r>
        <w:t xml:space="preserve"> Tutors are available to help Maori and Pacific Island students and others through a range of opportunities such as study groups, skill based workshops, and one-on-one assistance. Your </w:t>
      </w:r>
      <w:proofErr w:type="spellStart"/>
      <w:r>
        <w:t>Tuakana</w:t>
      </w:r>
      <w:proofErr w:type="spellEnd"/>
      <w:r>
        <w:t xml:space="preserve"> tutor for this course will be introduced both in person (in class) and via Canvas early on in the course.</w:t>
      </w:r>
    </w:p>
    <w:p w14:paraId="2F52059E" w14:textId="77777777" w:rsidR="00F201C4" w:rsidRDefault="00F201C4" w:rsidP="00FC1FA6">
      <w:pPr>
        <w:spacing w:after="0"/>
        <w:jc w:val="both"/>
        <w:rPr>
          <w:b/>
        </w:rPr>
      </w:pPr>
      <w:r>
        <w:rPr>
          <w:b/>
        </w:rPr>
        <w:t>Disabled students</w:t>
      </w:r>
    </w:p>
    <w:p w14:paraId="78AE5CBB" w14:textId="6BB6FEFF" w:rsidR="00F70A28" w:rsidRDefault="00F201C4" w:rsidP="00FC1FA6">
      <w:pPr>
        <w:spacing w:after="0"/>
        <w:jc w:val="both"/>
      </w:pPr>
      <w:r>
        <w:t xml:space="preserve">If you have a disability that affects your capacity to participate in this course, please contact the convenor as soon as possible. Additional information for disable students can be found at the </w:t>
      </w:r>
      <w:r>
        <w:rPr>
          <w:b/>
        </w:rPr>
        <w:t>University of Auckland Disability S</w:t>
      </w:r>
      <w:r w:rsidR="00FC1FA6">
        <w:rPr>
          <w:b/>
        </w:rPr>
        <w:t xml:space="preserve">ervices </w:t>
      </w:r>
      <w:r w:rsidR="00FC1FA6">
        <w:t>website.</w:t>
      </w:r>
    </w:p>
    <w:p w14:paraId="40F2ACEC" w14:textId="77777777" w:rsidR="00CB2512" w:rsidRDefault="00F70A28">
      <w:pPr>
        <w:sectPr w:rsidR="00CB2512" w:rsidSect="00EE0054">
          <w:type w:val="continuous"/>
          <w:pgSz w:w="12240" w:h="15840"/>
          <w:pgMar w:top="936" w:right="936" w:bottom="936" w:left="936" w:header="720" w:footer="720" w:gutter="0"/>
          <w:cols w:space="720"/>
          <w:docGrid w:linePitch="360"/>
        </w:sectPr>
      </w:pPr>
      <w:r>
        <w:br w:type="page"/>
      </w:r>
    </w:p>
    <w:tbl>
      <w:tblPr>
        <w:tblStyle w:val="TableGrid"/>
        <w:tblW w:w="5000" w:type="pct"/>
        <w:tblLook w:val="04A0" w:firstRow="1" w:lastRow="0" w:firstColumn="1" w:lastColumn="0" w:noHBand="0" w:noVBand="1"/>
      </w:tblPr>
      <w:tblGrid>
        <w:gridCol w:w="703"/>
        <w:gridCol w:w="1189"/>
        <w:gridCol w:w="4877"/>
        <w:gridCol w:w="3928"/>
        <w:gridCol w:w="3261"/>
      </w:tblGrid>
      <w:tr w:rsidR="008E561F" w14:paraId="60821A6E" w14:textId="77777777" w:rsidTr="008E561F">
        <w:tc>
          <w:tcPr>
            <w:tcW w:w="252" w:type="pct"/>
          </w:tcPr>
          <w:p w14:paraId="3FE5023E" w14:textId="498170AB" w:rsidR="008E561F" w:rsidRDefault="008E561F" w:rsidP="00D808AB">
            <w:pPr>
              <w:pStyle w:val="BodyText"/>
              <w:jc w:val="left"/>
              <w:rPr>
                <w:rFonts w:ascii="Palatino" w:hAnsi="Palatino"/>
                <w:sz w:val="22"/>
                <w:szCs w:val="22"/>
              </w:rPr>
            </w:pPr>
            <w:r>
              <w:rPr>
                <w:rFonts w:ascii="Palatino" w:hAnsi="Palatino"/>
                <w:sz w:val="22"/>
                <w:szCs w:val="22"/>
              </w:rPr>
              <w:lastRenderedPageBreak/>
              <w:t>WK</w:t>
            </w:r>
          </w:p>
        </w:tc>
        <w:tc>
          <w:tcPr>
            <w:tcW w:w="426" w:type="pct"/>
          </w:tcPr>
          <w:p w14:paraId="321E021F" w14:textId="14313C5A" w:rsidR="008E561F" w:rsidRDefault="008E561F" w:rsidP="00D808AB">
            <w:pPr>
              <w:pStyle w:val="BodyText"/>
              <w:jc w:val="left"/>
              <w:rPr>
                <w:rFonts w:ascii="Palatino" w:hAnsi="Palatino"/>
                <w:sz w:val="22"/>
                <w:szCs w:val="22"/>
              </w:rPr>
            </w:pPr>
            <w:r>
              <w:rPr>
                <w:rFonts w:ascii="Palatino" w:hAnsi="Palatino"/>
                <w:sz w:val="22"/>
                <w:szCs w:val="22"/>
              </w:rPr>
              <w:t>Date</w:t>
            </w:r>
          </w:p>
        </w:tc>
        <w:tc>
          <w:tcPr>
            <w:tcW w:w="1747" w:type="pct"/>
          </w:tcPr>
          <w:p w14:paraId="38E0AA95" w14:textId="56D12FA7" w:rsidR="008E561F" w:rsidRDefault="008E561F" w:rsidP="00D808AB">
            <w:pPr>
              <w:pStyle w:val="BodyText"/>
              <w:jc w:val="left"/>
              <w:rPr>
                <w:rFonts w:ascii="Palatino" w:hAnsi="Palatino"/>
                <w:sz w:val="22"/>
                <w:szCs w:val="22"/>
              </w:rPr>
            </w:pPr>
            <w:r>
              <w:rPr>
                <w:rFonts w:ascii="Palatino" w:hAnsi="Palatino"/>
                <w:sz w:val="22"/>
                <w:szCs w:val="22"/>
              </w:rPr>
              <w:t>Lecture topic</w:t>
            </w:r>
          </w:p>
        </w:tc>
        <w:tc>
          <w:tcPr>
            <w:tcW w:w="1407" w:type="pct"/>
          </w:tcPr>
          <w:p w14:paraId="0B806F6A" w14:textId="77777777" w:rsidR="008E561F" w:rsidRPr="0050509F" w:rsidRDefault="008E561F" w:rsidP="00D808AB">
            <w:pPr>
              <w:pStyle w:val="BodyText"/>
              <w:jc w:val="left"/>
              <w:rPr>
                <w:b w:val="0"/>
                <w:sz w:val="20"/>
              </w:rPr>
            </w:pPr>
            <w:r w:rsidRPr="0050509F">
              <w:rPr>
                <w:b w:val="0"/>
                <w:sz w:val="20"/>
              </w:rPr>
              <w:t>Readings</w:t>
            </w:r>
          </w:p>
        </w:tc>
        <w:tc>
          <w:tcPr>
            <w:tcW w:w="1168" w:type="pct"/>
          </w:tcPr>
          <w:p w14:paraId="593EFD23" w14:textId="77777777" w:rsidR="008E561F" w:rsidRDefault="008E561F" w:rsidP="00D808AB">
            <w:pPr>
              <w:pStyle w:val="BodyText"/>
              <w:jc w:val="left"/>
              <w:rPr>
                <w:rFonts w:ascii="Palatino" w:hAnsi="Palatino"/>
                <w:sz w:val="22"/>
                <w:szCs w:val="22"/>
              </w:rPr>
            </w:pPr>
            <w:r>
              <w:rPr>
                <w:rFonts w:ascii="Palatino" w:hAnsi="Palatino"/>
                <w:sz w:val="22"/>
                <w:szCs w:val="22"/>
              </w:rPr>
              <w:t>235 Labs</w:t>
            </w:r>
          </w:p>
        </w:tc>
      </w:tr>
      <w:tr w:rsidR="008E561F" w14:paraId="48C3760B" w14:textId="77777777" w:rsidTr="0044607E">
        <w:trPr>
          <w:trHeight w:val="3397"/>
        </w:trPr>
        <w:tc>
          <w:tcPr>
            <w:tcW w:w="252" w:type="pct"/>
          </w:tcPr>
          <w:p w14:paraId="73E68890" w14:textId="6A7C885C" w:rsidR="008E561F" w:rsidRDefault="008E561F" w:rsidP="00D808AB">
            <w:pPr>
              <w:pStyle w:val="BodyText"/>
              <w:jc w:val="left"/>
              <w:rPr>
                <w:rFonts w:ascii="Palatino" w:hAnsi="Palatino"/>
                <w:sz w:val="22"/>
                <w:szCs w:val="22"/>
              </w:rPr>
            </w:pPr>
            <w:r>
              <w:rPr>
                <w:rFonts w:ascii="Palatino" w:hAnsi="Palatino"/>
                <w:sz w:val="22"/>
                <w:szCs w:val="22"/>
              </w:rPr>
              <w:t>1</w:t>
            </w:r>
          </w:p>
        </w:tc>
        <w:tc>
          <w:tcPr>
            <w:tcW w:w="426" w:type="pct"/>
          </w:tcPr>
          <w:p w14:paraId="03C060A1" w14:textId="4F93CB2E" w:rsidR="008E561F" w:rsidRDefault="008E561F" w:rsidP="00D808AB">
            <w:pPr>
              <w:pStyle w:val="BodyText"/>
              <w:jc w:val="left"/>
              <w:rPr>
                <w:rFonts w:ascii="Palatino" w:hAnsi="Palatino"/>
                <w:sz w:val="22"/>
                <w:szCs w:val="22"/>
              </w:rPr>
            </w:pPr>
            <w:r>
              <w:rPr>
                <w:rFonts w:ascii="Palatino" w:hAnsi="Palatino"/>
                <w:sz w:val="22"/>
                <w:szCs w:val="22"/>
              </w:rPr>
              <w:t>18/7</w:t>
            </w:r>
          </w:p>
        </w:tc>
        <w:tc>
          <w:tcPr>
            <w:tcW w:w="1747" w:type="pct"/>
          </w:tcPr>
          <w:p w14:paraId="3BAD898B" w14:textId="44441AAE" w:rsidR="008E561F" w:rsidRDefault="008E561F" w:rsidP="00D808AB">
            <w:pPr>
              <w:pStyle w:val="BodyText"/>
              <w:jc w:val="left"/>
              <w:rPr>
                <w:rFonts w:ascii="Palatino" w:hAnsi="Palatino"/>
                <w:sz w:val="22"/>
                <w:szCs w:val="22"/>
              </w:rPr>
            </w:pPr>
            <w:r>
              <w:rPr>
                <w:rFonts w:ascii="Palatino" w:hAnsi="Palatino"/>
                <w:sz w:val="22"/>
                <w:szCs w:val="22"/>
              </w:rPr>
              <w:t>Introduction to bioarchaeology and the human skeleton</w:t>
            </w:r>
          </w:p>
          <w:p w14:paraId="7A3CCB52" w14:textId="0B827776" w:rsidR="008E561F" w:rsidRDefault="008E561F" w:rsidP="00D808AB">
            <w:pPr>
              <w:pStyle w:val="BodyText"/>
              <w:jc w:val="left"/>
              <w:rPr>
                <w:rFonts w:ascii="Palatino" w:hAnsi="Palatino"/>
                <w:sz w:val="22"/>
                <w:szCs w:val="22"/>
              </w:rPr>
            </w:pPr>
            <w:r w:rsidRPr="00CB2512">
              <w:rPr>
                <w:rFonts w:ascii="Palatino" w:hAnsi="Palatino"/>
                <w:i/>
                <w:sz w:val="22"/>
                <w:szCs w:val="22"/>
              </w:rPr>
              <w:t>What is bioarchaeology?</w:t>
            </w:r>
            <w:r w:rsidRPr="00CB2512">
              <w:rPr>
                <w:rFonts w:ascii="Palatino" w:hAnsi="Palatino"/>
                <w:i/>
                <w:sz w:val="22"/>
                <w:szCs w:val="22"/>
              </w:rPr>
              <w:br/>
              <w:t>The human skeleton and information we gain from it, ethics – what do we mean by ethics and why do they matter.</w:t>
            </w:r>
          </w:p>
        </w:tc>
        <w:tc>
          <w:tcPr>
            <w:tcW w:w="1407" w:type="pct"/>
          </w:tcPr>
          <w:p w14:paraId="00F036C5" w14:textId="77777777" w:rsidR="008E561F" w:rsidRPr="0050509F" w:rsidRDefault="008E561F" w:rsidP="00D808AB">
            <w:pPr>
              <w:rPr>
                <w:rFonts w:ascii="Times New Roman" w:hAnsi="Times New Roman" w:cs="Times New Roman"/>
                <w:sz w:val="20"/>
                <w:szCs w:val="20"/>
              </w:rPr>
            </w:pPr>
            <w:r w:rsidRPr="0050509F">
              <w:rPr>
                <w:rFonts w:ascii="Times New Roman" w:hAnsi="Times New Roman" w:cs="Times New Roman"/>
                <w:sz w:val="20"/>
                <w:szCs w:val="20"/>
              </w:rPr>
              <w:t>Parker Pearson 1999 The Archaeology of Death and Burial College Station: Texas A&amp;M University Press Pp 1-20 ISBN 1-58544-099-X</w:t>
            </w:r>
          </w:p>
          <w:p w14:paraId="7138F635" w14:textId="77777777" w:rsidR="008E561F" w:rsidRPr="0050509F" w:rsidRDefault="008E561F" w:rsidP="00DD606D">
            <w:pPr>
              <w:rPr>
                <w:rFonts w:ascii="Times New Roman" w:hAnsi="Times New Roman" w:cs="Times New Roman"/>
                <w:sz w:val="20"/>
                <w:szCs w:val="20"/>
              </w:rPr>
            </w:pPr>
            <w:r w:rsidRPr="0050509F">
              <w:rPr>
                <w:rFonts w:ascii="Times New Roman" w:hAnsi="Times New Roman" w:cs="Times New Roman"/>
                <w:sz w:val="20"/>
                <w:szCs w:val="20"/>
              </w:rPr>
              <w:t xml:space="preserve">Mays, S 2010 The Archaeology of Human Bones. London: Routledge. Pp1-14 </w:t>
            </w:r>
          </w:p>
          <w:p w14:paraId="08A0C6CE" w14:textId="77777777" w:rsidR="008E561F" w:rsidRPr="0050509F" w:rsidRDefault="008E561F" w:rsidP="00DD606D">
            <w:pPr>
              <w:rPr>
                <w:rFonts w:ascii="Times New Roman" w:hAnsi="Times New Roman" w:cs="Times New Roman"/>
                <w:sz w:val="20"/>
                <w:szCs w:val="20"/>
              </w:rPr>
            </w:pPr>
          </w:p>
          <w:p w14:paraId="1E44DC4C" w14:textId="4220F8AE" w:rsidR="008E561F" w:rsidRPr="0050509F" w:rsidRDefault="008E561F" w:rsidP="00DD606D">
            <w:pPr>
              <w:rPr>
                <w:rFonts w:ascii="Times New Roman" w:hAnsi="Times New Roman" w:cs="Times New Roman"/>
                <w:i/>
                <w:sz w:val="20"/>
                <w:szCs w:val="20"/>
              </w:rPr>
            </w:pPr>
            <w:r w:rsidRPr="0050509F">
              <w:rPr>
                <w:rFonts w:ascii="Times New Roman" w:hAnsi="Times New Roman" w:cs="Times New Roman"/>
                <w:color w:val="222222"/>
                <w:sz w:val="20"/>
                <w:szCs w:val="20"/>
                <w:shd w:val="clear" w:color="auto" w:fill="FFFFFF"/>
              </w:rPr>
              <w:t xml:space="preserve">Turner, B. L., </w:t>
            </w:r>
            <w:proofErr w:type="spellStart"/>
            <w:r w:rsidRPr="0050509F">
              <w:rPr>
                <w:rFonts w:ascii="Times New Roman" w:hAnsi="Times New Roman" w:cs="Times New Roman"/>
                <w:color w:val="222222"/>
                <w:sz w:val="20"/>
                <w:szCs w:val="20"/>
                <w:shd w:val="clear" w:color="auto" w:fill="FFFFFF"/>
              </w:rPr>
              <w:t>Toebbe</w:t>
            </w:r>
            <w:proofErr w:type="spellEnd"/>
            <w:r w:rsidRPr="0050509F">
              <w:rPr>
                <w:rFonts w:ascii="Times New Roman" w:hAnsi="Times New Roman" w:cs="Times New Roman"/>
                <w:color w:val="222222"/>
                <w:sz w:val="20"/>
                <w:szCs w:val="20"/>
                <w:shd w:val="clear" w:color="auto" w:fill="FFFFFF"/>
              </w:rPr>
              <w:t xml:space="preserve">, D. S., &amp; </w:t>
            </w:r>
            <w:proofErr w:type="spellStart"/>
            <w:r w:rsidRPr="0050509F">
              <w:rPr>
                <w:rFonts w:ascii="Times New Roman" w:hAnsi="Times New Roman" w:cs="Times New Roman"/>
                <w:color w:val="222222"/>
                <w:sz w:val="20"/>
                <w:szCs w:val="20"/>
                <w:shd w:val="clear" w:color="auto" w:fill="FFFFFF"/>
              </w:rPr>
              <w:t>Armelagos</w:t>
            </w:r>
            <w:proofErr w:type="spellEnd"/>
            <w:r w:rsidRPr="0050509F">
              <w:rPr>
                <w:rFonts w:ascii="Times New Roman" w:hAnsi="Times New Roman" w:cs="Times New Roman"/>
                <w:color w:val="222222"/>
                <w:sz w:val="20"/>
                <w:szCs w:val="20"/>
                <w:shd w:val="clear" w:color="auto" w:fill="FFFFFF"/>
              </w:rPr>
              <w:t>, G. J. (2006). To the science, to the living, to the dead: Ethics and bioarchaeology. In </w:t>
            </w:r>
            <w:r w:rsidRPr="0050509F">
              <w:rPr>
                <w:rFonts w:ascii="Times New Roman" w:hAnsi="Times New Roman" w:cs="Times New Roman"/>
                <w:i/>
                <w:iCs/>
                <w:color w:val="222222"/>
                <w:sz w:val="20"/>
                <w:szCs w:val="20"/>
                <w:shd w:val="clear" w:color="auto" w:fill="FFFFFF"/>
              </w:rPr>
              <w:t>Symposia-Society For The Study Of Human Biology</w:t>
            </w:r>
            <w:r w:rsidRPr="0050509F">
              <w:rPr>
                <w:rFonts w:ascii="Times New Roman" w:hAnsi="Times New Roman" w:cs="Times New Roman"/>
                <w:color w:val="222222"/>
                <w:sz w:val="20"/>
                <w:szCs w:val="20"/>
                <w:shd w:val="clear" w:color="auto" w:fill="FFFFFF"/>
              </w:rPr>
              <w:t> </w:t>
            </w:r>
            <w:r w:rsidRPr="0050509F">
              <w:rPr>
                <w:rFonts w:ascii="Times New Roman" w:hAnsi="Times New Roman" w:cs="Times New Roman"/>
                <w:color w:val="222222"/>
                <w:sz w:val="20"/>
                <w:szCs w:val="20"/>
                <w:shd w:val="clear" w:color="auto" w:fill="FFFFFF"/>
              </w:rPr>
              <w:t>(Vol. 45, p. 203). Cambridge University Press.</w:t>
            </w:r>
          </w:p>
        </w:tc>
        <w:tc>
          <w:tcPr>
            <w:tcW w:w="1168" w:type="pct"/>
          </w:tcPr>
          <w:p w14:paraId="52C41E19" w14:textId="77777777" w:rsidR="008E561F" w:rsidRDefault="008E561F" w:rsidP="00D808AB">
            <w:pPr>
              <w:pStyle w:val="BodyText"/>
              <w:jc w:val="left"/>
              <w:rPr>
                <w:rFonts w:ascii="Palatino" w:hAnsi="Palatino"/>
                <w:sz w:val="22"/>
                <w:szCs w:val="22"/>
              </w:rPr>
            </w:pPr>
          </w:p>
        </w:tc>
      </w:tr>
      <w:tr w:rsidR="008E561F" w14:paraId="49BE5C71" w14:textId="77777777" w:rsidTr="008E561F">
        <w:tc>
          <w:tcPr>
            <w:tcW w:w="252" w:type="pct"/>
          </w:tcPr>
          <w:p w14:paraId="40200795" w14:textId="46881813" w:rsidR="008E561F" w:rsidRDefault="008E561F" w:rsidP="00D808AB">
            <w:pPr>
              <w:pStyle w:val="BodyText"/>
              <w:jc w:val="left"/>
              <w:rPr>
                <w:rFonts w:ascii="Palatino" w:hAnsi="Palatino"/>
                <w:sz w:val="22"/>
                <w:szCs w:val="22"/>
              </w:rPr>
            </w:pPr>
            <w:r>
              <w:rPr>
                <w:rFonts w:ascii="Palatino" w:hAnsi="Palatino"/>
                <w:sz w:val="22"/>
                <w:szCs w:val="22"/>
              </w:rPr>
              <w:t>2</w:t>
            </w:r>
          </w:p>
        </w:tc>
        <w:tc>
          <w:tcPr>
            <w:tcW w:w="426" w:type="pct"/>
          </w:tcPr>
          <w:p w14:paraId="058576CA" w14:textId="6E11E8E2" w:rsidR="008E561F" w:rsidRDefault="008E561F" w:rsidP="00D808AB">
            <w:pPr>
              <w:pStyle w:val="BodyText"/>
              <w:jc w:val="left"/>
              <w:rPr>
                <w:rFonts w:ascii="Palatino" w:hAnsi="Palatino"/>
                <w:sz w:val="22"/>
                <w:szCs w:val="22"/>
              </w:rPr>
            </w:pPr>
            <w:r>
              <w:rPr>
                <w:rFonts w:ascii="Palatino" w:hAnsi="Palatino"/>
                <w:sz w:val="22"/>
                <w:szCs w:val="22"/>
              </w:rPr>
              <w:t>25/7</w:t>
            </w:r>
          </w:p>
        </w:tc>
        <w:tc>
          <w:tcPr>
            <w:tcW w:w="1747" w:type="pct"/>
          </w:tcPr>
          <w:p w14:paraId="148A5735" w14:textId="0647A4AF" w:rsidR="008E561F" w:rsidRDefault="008E561F" w:rsidP="00D808AB">
            <w:pPr>
              <w:pStyle w:val="BodyText"/>
              <w:jc w:val="left"/>
              <w:rPr>
                <w:rFonts w:ascii="Palatino" w:hAnsi="Palatino"/>
                <w:sz w:val="22"/>
                <w:szCs w:val="22"/>
              </w:rPr>
            </w:pPr>
            <w:r>
              <w:rPr>
                <w:rFonts w:ascii="Palatino" w:hAnsi="Palatino"/>
                <w:sz w:val="22"/>
                <w:szCs w:val="22"/>
              </w:rPr>
              <w:t>Mortuary landscapes</w:t>
            </w:r>
          </w:p>
          <w:p w14:paraId="0D9454C6" w14:textId="1A40437B" w:rsidR="008E561F" w:rsidRDefault="008E561F" w:rsidP="00D808AB">
            <w:pPr>
              <w:pStyle w:val="BodyText"/>
              <w:jc w:val="left"/>
              <w:rPr>
                <w:rFonts w:ascii="Palatino" w:hAnsi="Palatino"/>
                <w:sz w:val="22"/>
                <w:szCs w:val="22"/>
              </w:rPr>
            </w:pPr>
            <w:r w:rsidRPr="00CB2512">
              <w:rPr>
                <w:rFonts w:ascii="Palatino" w:hAnsi="Palatino"/>
                <w:i/>
                <w:sz w:val="22"/>
                <w:szCs w:val="22"/>
              </w:rPr>
              <w:t>SYMMONDS ST CEMETERY – an introduction to mortuary archaeology</w:t>
            </w:r>
          </w:p>
        </w:tc>
        <w:tc>
          <w:tcPr>
            <w:tcW w:w="1407" w:type="pct"/>
          </w:tcPr>
          <w:p w14:paraId="19FB2B21" w14:textId="77777777" w:rsidR="008E561F" w:rsidRPr="0050509F" w:rsidRDefault="008E561F" w:rsidP="00D808AB">
            <w:pPr>
              <w:pStyle w:val="BodyText"/>
              <w:jc w:val="left"/>
              <w:rPr>
                <w:b w:val="0"/>
                <w:color w:val="181817"/>
                <w:sz w:val="20"/>
                <w:shd w:val="clear" w:color="auto" w:fill="CFE9FF"/>
              </w:rPr>
            </w:pPr>
            <w:proofErr w:type="spellStart"/>
            <w:r w:rsidRPr="0050509F">
              <w:rPr>
                <w:b w:val="0"/>
                <w:color w:val="181817"/>
                <w:sz w:val="20"/>
                <w:shd w:val="clear" w:color="auto" w:fill="CFE9FF"/>
              </w:rPr>
              <w:t>Tarlow</w:t>
            </w:r>
            <w:proofErr w:type="spellEnd"/>
            <w:r w:rsidRPr="0050509F">
              <w:rPr>
                <w:b w:val="0"/>
                <w:color w:val="181817"/>
                <w:sz w:val="20"/>
                <w:shd w:val="clear" w:color="auto" w:fill="CFE9FF"/>
              </w:rPr>
              <w:t>, S. (1997). An Archaeology of Remembering: Death, Bereavement and the First World War. </w:t>
            </w:r>
            <w:r w:rsidRPr="0050509F">
              <w:rPr>
                <w:b w:val="0"/>
                <w:i/>
                <w:iCs/>
                <w:color w:val="181817"/>
                <w:sz w:val="20"/>
                <w:bdr w:val="none" w:sz="0" w:space="0" w:color="auto" w:frame="1"/>
                <w:shd w:val="clear" w:color="auto" w:fill="CFE9FF"/>
              </w:rPr>
              <w:t>Cambridge Archaeological Journal,</w:t>
            </w:r>
            <w:r w:rsidRPr="0050509F">
              <w:rPr>
                <w:b w:val="0"/>
                <w:color w:val="181817"/>
                <w:sz w:val="20"/>
                <w:shd w:val="clear" w:color="auto" w:fill="CFE9FF"/>
              </w:rPr>
              <w:t> </w:t>
            </w:r>
            <w:r w:rsidRPr="0050509F">
              <w:rPr>
                <w:b w:val="0"/>
                <w:i/>
                <w:iCs/>
                <w:color w:val="181817"/>
                <w:sz w:val="20"/>
                <w:bdr w:val="none" w:sz="0" w:space="0" w:color="auto" w:frame="1"/>
                <w:shd w:val="clear" w:color="auto" w:fill="CFE9FF"/>
              </w:rPr>
              <w:t>7</w:t>
            </w:r>
            <w:r w:rsidRPr="0050509F">
              <w:rPr>
                <w:b w:val="0"/>
                <w:color w:val="181817"/>
                <w:sz w:val="20"/>
                <w:shd w:val="clear" w:color="auto" w:fill="CFE9FF"/>
              </w:rPr>
              <w:t>(1), 105-121. doi:10.1017/S0959774300001499</w:t>
            </w:r>
          </w:p>
          <w:p w14:paraId="05F10AC0" w14:textId="77777777" w:rsidR="008E561F" w:rsidRPr="0050509F" w:rsidRDefault="008E561F" w:rsidP="00D808AB">
            <w:pPr>
              <w:pStyle w:val="BodyText"/>
              <w:jc w:val="left"/>
              <w:rPr>
                <w:rStyle w:val="hlfld-contribauthor"/>
                <w:b w:val="0"/>
                <w:color w:val="333333"/>
                <w:sz w:val="20"/>
              </w:rPr>
            </w:pPr>
            <w:r w:rsidRPr="0050509F">
              <w:rPr>
                <w:rStyle w:val="hlfld-contribauthor"/>
                <w:b w:val="0"/>
                <w:color w:val="333333"/>
                <w:sz w:val="20"/>
              </w:rPr>
              <w:t xml:space="preserve"> </w:t>
            </w:r>
          </w:p>
          <w:p w14:paraId="53B2583F" w14:textId="77777777" w:rsidR="008E561F" w:rsidRPr="0050509F" w:rsidRDefault="008E561F" w:rsidP="00D808AB">
            <w:pPr>
              <w:pStyle w:val="BodyText"/>
              <w:jc w:val="left"/>
              <w:rPr>
                <w:b w:val="0"/>
                <w:sz w:val="20"/>
              </w:rPr>
            </w:pPr>
            <w:proofErr w:type="spellStart"/>
            <w:r w:rsidRPr="0050509F">
              <w:rPr>
                <w:rStyle w:val="hlfld-contribauthor"/>
                <w:b w:val="0"/>
                <w:color w:val="333333"/>
                <w:sz w:val="20"/>
              </w:rPr>
              <w:t>Mytum</w:t>
            </w:r>
            <w:proofErr w:type="spellEnd"/>
            <w:r w:rsidRPr="0050509F">
              <w:rPr>
                <w:rStyle w:val="hlfld-contribauthor"/>
                <w:b w:val="0"/>
                <w:color w:val="333333"/>
                <w:sz w:val="20"/>
              </w:rPr>
              <w:t>, </w:t>
            </w:r>
            <w:r w:rsidRPr="0050509F">
              <w:rPr>
                <w:rStyle w:val="nlmgiven-names"/>
                <w:b w:val="0"/>
                <w:color w:val="333333"/>
                <w:sz w:val="20"/>
              </w:rPr>
              <w:t>H</w:t>
            </w:r>
            <w:r w:rsidRPr="0050509F">
              <w:rPr>
                <w:b w:val="0"/>
                <w:color w:val="333333"/>
                <w:sz w:val="20"/>
                <w:shd w:val="clear" w:color="auto" w:fill="FFFFFF"/>
              </w:rPr>
              <w:t>. </w:t>
            </w:r>
            <w:r w:rsidRPr="0050509F">
              <w:rPr>
                <w:rStyle w:val="nlmyear"/>
                <w:b w:val="0"/>
                <w:color w:val="333333"/>
                <w:sz w:val="20"/>
              </w:rPr>
              <w:t>2006</w:t>
            </w:r>
            <w:r w:rsidRPr="0050509F">
              <w:rPr>
                <w:b w:val="0"/>
                <w:color w:val="333333"/>
                <w:sz w:val="20"/>
                <w:shd w:val="clear" w:color="auto" w:fill="FFFFFF"/>
              </w:rPr>
              <w:t>. </w:t>
            </w:r>
            <w:r w:rsidRPr="0050509F">
              <w:rPr>
                <w:rStyle w:val="nlmarticle-title"/>
                <w:b w:val="0"/>
                <w:color w:val="333333"/>
                <w:sz w:val="20"/>
              </w:rPr>
              <w:t>Popular attitudes to memory, the body, and social identity: The rise of external commemoration in Britain, Ireland and New England</w:t>
            </w:r>
            <w:r w:rsidRPr="0050509F">
              <w:rPr>
                <w:b w:val="0"/>
                <w:color w:val="333333"/>
                <w:sz w:val="20"/>
                <w:shd w:val="clear" w:color="auto" w:fill="FFFFFF"/>
              </w:rPr>
              <w:t>. </w:t>
            </w:r>
            <w:r w:rsidRPr="0050509F">
              <w:rPr>
                <w:b w:val="0"/>
                <w:i/>
                <w:iCs/>
                <w:color w:val="333333"/>
                <w:sz w:val="20"/>
              </w:rPr>
              <w:t>Post-Medieval Archaeology</w:t>
            </w:r>
            <w:r w:rsidRPr="0050509F">
              <w:rPr>
                <w:b w:val="0"/>
                <w:color w:val="333333"/>
                <w:sz w:val="20"/>
                <w:shd w:val="clear" w:color="auto" w:fill="FFFFFF"/>
              </w:rPr>
              <w:t>, 40(1): </w:t>
            </w:r>
            <w:r w:rsidRPr="0050509F">
              <w:rPr>
                <w:rStyle w:val="nlmfpage"/>
                <w:b w:val="0"/>
                <w:color w:val="333333"/>
                <w:sz w:val="20"/>
              </w:rPr>
              <w:t>96</w:t>
            </w:r>
            <w:r w:rsidRPr="0050509F">
              <w:rPr>
                <w:b w:val="0"/>
                <w:color w:val="333333"/>
                <w:sz w:val="20"/>
                <w:shd w:val="clear" w:color="auto" w:fill="FFFFFF"/>
              </w:rPr>
              <w:t>–</w:t>
            </w:r>
            <w:r w:rsidRPr="0050509F">
              <w:rPr>
                <w:rStyle w:val="nlmlpage"/>
                <w:b w:val="0"/>
                <w:color w:val="333333"/>
                <w:sz w:val="20"/>
              </w:rPr>
              <w:t>110</w:t>
            </w:r>
            <w:r w:rsidRPr="0050509F">
              <w:rPr>
                <w:b w:val="0"/>
                <w:color w:val="333333"/>
                <w:sz w:val="20"/>
                <w:shd w:val="clear" w:color="auto" w:fill="FFFFFF"/>
              </w:rPr>
              <w:t>.</w:t>
            </w:r>
          </w:p>
        </w:tc>
        <w:tc>
          <w:tcPr>
            <w:tcW w:w="1168" w:type="pct"/>
          </w:tcPr>
          <w:p w14:paraId="7BF038C2" w14:textId="77777777" w:rsidR="008E561F" w:rsidRDefault="008E561F" w:rsidP="00D808AB">
            <w:pPr>
              <w:pStyle w:val="BodyText"/>
              <w:jc w:val="left"/>
              <w:rPr>
                <w:rFonts w:ascii="Palatino" w:hAnsi="Palatino"/>
                <w:sz w:val="22"/>
                <w:szCs w:val="22"/>
              </w:rPr>
            </w:pPr>
            <w:r>
              <w:rPr>
                <w:rFonts w:ascii="Palatino" w:hAnsi="Palatino"/>
                <w:sz w:val="22"/>
                <w:szCs w:val="22"/>
              </w:rPr>
              <w:t>Thinking about cemeteries – theory and readings</w:t>
            </w:r>
          </w:p>
        </w:tc>
      </w:tr>
      <w:tr w:rsidR="008E561F" w14:paraId="5E0D826E" w14:textId="77777777" w:rsidTr="008E561F">
        <w:tc>
          <w:tcPr>
            <w:tcW w:w="252" w:type="pct"/>
          </w:tcPr>
          <w:p w14:paraId="68C97ED0" w14:textId="6E1064E5" w:rsidR="008E561F" w:rsidRDefault="008E561F" w:rsidP="00D808AB">
            <w:pPr>
              <w:pStyle w:val="BodyText"/>
              <w:jc w:val="left"/>
              <w:rPr>
                <w:rFonts w:ascii="Palatino" w:hAnsi="Palatino"/>
                <w:sz w:val="22"/>
                <w:szCs w:val="22"/>
              </w:rPr>
            </w:pPr>
            <w:r>
              <w:rPr>
                <w:rFonts w:ascii="Palatino" w:hAnsi="Palatino"/>
                <w:sz w:val="22"/>
                <w:szCs w:val="22"/>
              </w:rPr>
              <w:t>3</w:t>
            </w:r>
          </w:p>
        </w:tc>
        <w:tc>
          <w:tcPr>
            <w:tcW w:w="426" w:type="pct"/>
          </w:tcPr>
          <w:p w14:paraId="41F1CE0F" w14:textId="27CFC51C" w:rsidR="008E561F" w:rsidRDefault="008E561F" w:rsidP="00D808AB">
            <w:pPr>
              <w:pStyle w:val="BodyText"/>
              <w:jc w:val="left"/>
              <w:rPr>
                <w:rFonts w:ascii="Palatino" w:hAnsi="Palatino"/>
                <w:sz w:val="22"/>
                <w:szCs w:val="22"/>
              </w:rPr>
            </w:pPr>
            <w:r>
              <w:rPr>
                <w:rFonts w:ascii="Palatino" w:hAnsi="Palatino"/>
                <w:sz w:val="22"/>
                <w:szCs w:val="22"/>
              </w:rPr>
              <w:t>1/8</w:t>
            </w:r>
          </w:p>
        </w:tc>
        <w:tc>
          <w:tcPr>
            <w:tcW w:w="1747" w:type="pct"/>
          </w:tcPr>
          <w:p w14:paraId="7B413C63" w14:textId="6C2AD31C" w:rsidR="008E561F" w:rsidRDefault="008E561F" w:rsidP="00D808AB">
            <w:pPr>
              <w:pStyle w:val="BodyText"/>
              <w:jc w:val="left"/>
              <w:rPr>
                <w:rFonts w:ascii="Palatino" w:hAnsi="Palatino"/>
                <w:sz w:val="22"/>
                <w:szCs w:val="22"/>
              </w:rPr>
            </w:pPr>
            <w:r>
              <w:rPr>
                <w:rFonts w:ascii="Palatino" w:hAnsi="Palatino"/>
                <w:sz w:val="22"/>
                <w:szCs w:val="22"/>
              </w:rPr>
              <w:t>Finding and analysing human remains in the archaeological and forensic record</w:t>
            </w:r>
          </w:p>
          <w:p w14:paraId="26ED3F88" w14:textId="10B6A3D2" w:rsidR="008E561F" w:rsidRDefault="008E561F" w:rsidP="00D808AB">
            <w:pPr>
              <w:pStyle w:val="BodyText"/>
              <w:jc w:val="left"/>
              <w:rPr>
                <w:rFonts w:ascii="Palatino" w:hAnsi="Palatino"/>
                <w:sz w:val="22"/>
                <w:szCs w:val="22"/>
              </w:rPr>
            </w:pPr>
            <w:r w:rsidRPr="00CB2512">
              <w:rPr>
                <w:rFonts w:ascii="Palatino" w:hAnsi="Palatino"/>
                <w:i/>
                <w:sz w:val="22"/>
                <w:szCs w:val="22"/>
              </w:rPr>
              <w:t xml:space="preserve">Human burials and burial practices, forensic anthropology, </w:t>
            </w:r>
            <w:proofErr w:type="spellStart"/>
            <w:r w:rsidRPr="00CB2512">
              <w:rPr>
                <w:rFonts w:ascii="Palatino" w:hAnsi="Palatino"/>
                <w:i/>
                <w:sz w:val="22"/>
                <w:szCs w:val="22"/>
              </w:rPr>
              <w:t>taphonomy</w:t>
            </w:r>
            <w:proofErr w:type="spellEnd"/>
            <w:r w:rsidRPr="00CB2512">
              <w:rPr>
                <w:rFonts w:ascii="Palatino" w:hAnsi="Palatino"/>
                <w:i/>
                <w:sz w:val="22"/>
                <w:szCs w:val="22"/>
              </w:rPr>
              <w:t xml:space="preserve"> and preservation</w:t>
            </w:r>
          </w:p>
        </w:tc>
        <w:tc>
          <w:tcPr>
            <w:tcW w:w="1407" w:type="pct"/>
          </w:tcPr>
          <w:p w14:paraId="1B4A245E" w14:textId="77777777" w:rsidR="008E561F" w:rsidRPr="00BD0179" w:rsidRDefault="008E561F" w:rsidP="00D808AB">
            <w:pPr>
              <w:rPr>
                <w:rFonts w:ascii="Times New Roman" w:hAnsi="Times New Roman" w:cs="Times New Roman"/>
                <w:sz w:val="20"/>
                <w:szCs w:val="20"/>
                <w:u w:val="single"/>
              </w:rPr>
            </w:pPr>
            <w:proofErr w:type="spellStart"/>
            <w:r w:rsidRPr="00BD0179">
              <w:rPr>
                <w:rFonts w:ascii="Times New Roman" w:hAnsi="Times New Roman" w:cs="Times New Roman"/>
                <w:sz w:val="20"/>
                <w:szCs w:val="20"/>
              </w:rPr>
              <w:t>Stodder</w:t>
            </w:r>
            <w:proofErr w:type="spellEnd"/>
            <w:r w:rsidRPr="00BD0179">
              <w:rPr>
                <w:rFonts w:ascii="Times New Roman" w:hAnsi="Times New Roman" w:cs="Times New Roman"/>
                <w:sz w:val="20"/>
                <w:szCs w:val="20"/>
              </w:rPr>
              <w:t xml:space="preserve">, A 2008 </w:t>
            </w:r>
            <w:proofErr w:type="spellStart"/>
            <w:r w:rsidRPr="00BD0179">
              <w:rPr>
                <w:rFonts w:ascii="Times New Roman" w:hAnsi="Times New Roman" w:cs="Times New Roman"/>
                <w:sz w:val="20"/>
                <w:szCs w:val="20"/>
              </w:rPr>
              <w:t>Taphonomy</w:t>
            </w:r>
            <w:proofErr w:type="spellEnd"/>
            <w:r w:rsidRPr="00BD0179">
              <w:rPr>
                <w:rFonts w:ascii="Times New Roman" w:hAnsi="Times New Roman" w:cs="Times New Roman"/>
                <w:sz w:val="20"/>
                <w:szCs w:val="20"/>
              </w:rPr>
              <w:t xml:space="preserve"> and the nature of archaeological assemblages. In </w:t>
            </w:r>
            <w:proofErr w:type="spellStart"/>
            <w:r w:rsidRPr="00BD0179">
              <w:rPr>
                <w:rFonts w:ascii="Times New Roman" w:hAnsi="Times New Roman" w:cs="Times New Roman"/>
                <w:sz w:val="20"/>
                <w:szCs w:val="20"/>
                <w:u w:val="single"/>
              </w:rPr>
              <w:t>Biologicaal</w:t>
            </w:r>
            <w:proofErr w:type="spellEnd"/>
            <w:r w:rsidRPr="00BD0179">
              <w:rPr>
                <w:rFonts w:ascii="Times New Roman" w:hAnsi="Times New Roman" w:cs="Times New Roman"/>
                <w:sz w:val="20"/>
                <w:szCs w:val="20"/>
                <w:u w:val="single"/>
              </w:rPr>
              <w:t xml:space="preserve"> Anthropology of the Human Skeleton, Wiley, p71-114</w:t>
            </w:r>
          </w:p>
          <w:p w14:paraId="33668CC6" w14:textId="77777777" w:rsidR="008E561F" w:rsidRPr="00BD0179" w:rsidRDefault="008E561F" w:rsidP="00D808AB">
            <w:pPr>
              <w:rPr>
                <w:rFonts w:ascii="Times New Roman" w:hAnsi="Times New Roman" w:cs="Times New Roman"/>
                <w:color w:val="222222"/>
                <w:sz w:val="20"/>
                <w:szCs w:val="20"/>
                <w:shd w:val="clear" w:color="auto" w:fill="FFFFFF"/>
              </w:rPr>
            </w:pPr>
          </w:p>
          <w:p w14:paraId="0661E0ED" w14:textId="77777777" w:rsidR="008E561F" w:rsidRPr="00BD0179" w:rsidRDefault="008E561F" w:rsidP="00D808AB">
            <w:pPr>
              <w:rPr>
                <w:rFonts w:ascii="Times New Roman" w:hAnsi="Times New Roman" w:cs="Times New Roman"/>
                <w:color w:val="222222"/>
                <w:sz w:val="20"/>
                <w:szCs w:val="20"/>
                <w:shd w:val="clear" w:color="auto" w:fill="FFFFFF"/>
              </w:rPr>
            </w:pPr>
            <w:proofErr w:type="spellStart"/>
            <w:r w:rsidRPr="00BD0179">
              <w:rPr>
                <w:rFonts w:ascii="Times New Roman" w:hAnsi="Times New Roman" w:cs="Times New Roman"/>
                <w:color w:val="222222"/>
                <w:sz w:val="20"/>
                <w:szCs w:val="20"/>
                <w:shd w:val="clear" w:color="auto" w:fill="FFFFFF"/>
              </w:rPr>
              <w:t>Knüsel</w:t>
            </w:r>
            <w:proofErr w:type="spellEnd"/>
            <w:r w:rsidRPr="00BD0179">
              <w:rPr>
                <w:rFonts w:ascii="Times New Roman" w:hAnsi="Times New Roman" w:cs="Times New Roman"/>
                <w:color w:val="222222"/>
                <w:sz w:val="20"/>
                <w:szCs w:val="20"/>
                <w:shd w:val="clear" w:color="auto" w:fill="FFFFFF"/>
              </w:rPr>
              <w:t xml:space="preserve">, C. J., &amp; Robb, J. (2016). Funerary </w:t>
            </w:r>
            <w:proofErr w:type="spellStart"/>
            <w:r w:rsidRPr="00BD0179">
              <w:rPr>
                <w:rFonts w:ascii="Times New Roman" w:hAnsi="Times New Roman" w:cs="Times New Roman"/>
                <w:color w:val="222222"/>
                <w:sz w:val="20"/>
                <w:szCs w:val="20"/>
                <w:shd w:val="clear" w:color="auto" w:fill="FFFFFF"/>
              </w:rPr>
              <w:t>taphonomy</w:t>
            </w:r>
            <w:proofErr w:type="spellEnd"/>
            <w:r w:rsidRPr="00BD0179">
              <w:rPr>
                <w:rFonts w:ascii="Times New Roman" w:hAnsi="Times New Roman" w:cs="Times New Roman"/>
                <w:color w:val="222222"/>
                <w:sz w:val="20"/>
                <w:szCs w:val="20"/>
                <w:shd w:val="clear" w:color="auto" w:fill="FFFFFF"/>
              </w:rPr>
              <w:t>: An overview of goals and methods. </w:t>
            </w:r>
            <w:r w:rsidRPr="00BD0179">
              <w:rPr>
                <w:rFonts w:ascii="Times New Roman" w:hAnsi="Times New Roman" w:cs="Times New Roman"/>
                <w:i/>
                <w:iCs/>
                <w:color w:val="222222"/>
                <w:sz w:val="20"/>
                <w:szCs w:val="20"/>
                <w:shd w:val="clear" w:color="auto" w:fill="FFFFFF"/>
              </w:rPr>
              <w:t>Journal of Archaeological Science: Reports</w:t>
            </w:r>
            <w:r w:rsidRPr="00BD0179">
              <w:rPr>
                <w:rFonts w:ascii="Times New Roman" w:hAnsi="Times New Roman" w:cs="Times New Roman"/>
                <w:color w:val="222222"/>
                <w:sz w:val="20"/>
                <w:szCs w:val="20"/>
                <w:shd w:val="clear" w:color="auto" w:fill="FFFFFF"/>
              </w:rPr>
              <w:t>, </w:t>
            </w:r>
            <w:r w:rsidRPr="00BD0179">
              <w:rPr>
                <w:rFonts w:ascii="Times New Roman" w:hAnsi="Times New Roman" w:cs="Times New Roman"/>
                <w:i/>
                <w:iCs/>
                <w:color w:val="222222"/>
                <w:sz w:val="20"/>
                <w:szCs w:val="20"/>
                <w:shd w:val="clear" w:color="auto" w:fill="FFFFFF"/>
              </w:rPr>
              <w:t>10</w:t>
            </w:r>
            <w:r w:rsidRPr="00BD0179">
              <w:rPr>
                <w:rFonts w:ascii="Times New Roman" w:hAnsi="Times New Roman" w:cs="Times New Roman"/>
                <w:color w:val="222222"/>
                <w:sz w:val="20"/>
                <w:szCs w:val="20"/>
                <w:shd w:val="clear" w:color="auto" w:fill="FFFFFF"/>
              </w:rPr>
              <w:t>, 655-673.</w:t>
            </w:r>
          </w:p>
          <w:p w14:paraId="00334C45" w14:textId="77777777" w:rsidR="008E561F" w:rsidRPr="00BD0179" w:rsidRDefault="008E561F" w:rsidP="00D808AB">
            <w:pPr>
              <w:rPr>
                <w:rStyle w:val="exldetailsdisplayval"/>
                <w:rFonts w:ascii="Times New Roman" w:hAnsi="Times New Roman" w:cs="Times New Roman"/>
                <w:i/>
                <w:color w:val="32322F"/>
                <w:sz w:val="20"/>
                <w:szCs w:val="20"/>
              </w:rPr>
            </w:pPr>
          </w:p>
          <w:p w14:paraId="07C4E2B1" w14:textId="3162EB46" w:rsidR="008E561F" w:rsidRPr="00BD0179" w:rsidRDefault="00BD0179" w:rsidP="00D808AB">
            <w:pPr>
              <w:pStyle w:val="BodyText"/>
              <w:jc w:val="left"/>
              <w:rPr>
                <w:b w:val="0"/>
                <w:sz w:val="20"/>
                <w:u w:val="single"/>
              </w:rPr>
            </w:pPr>
            <w:proofErr w:type="spellStart"/>
            <w:r w:rsidRPr="00BD0179">
              <w:rPr>
                <w:b w:val="0"/>
                <w:sz w:val="20"/>
              </w:rPr>
              <w:t>Castex</w:t>
            </w:r>
            <w:proofErr w:type="spellEnd"/>
            <w:r w:rsidRPr="00BD0179">
              <w:rPr>
                <w:b w:val="0"/>
                <w:sz w:val="20"/>
              </w:rPr>
              <w:t xml:space="preserve">, D and </w:t>
            </w:r>
            <w:proofErr w:type="spellStart"/>
            <w:r w:rsidRPr="00BD0179">
              <w:rPr>
                <w:b w:val="0"/>
                <w:sz w:val="20"/>
              </w:rPr>
              <w:t>Blaizot</w:t>
            </w:r>
            <w:proofErr w:type="spellEnd"/>
            <w:r w:rsidRPr="00BD0179">
              <w:rPr>
                <w:b w:val="0"/>
                <w:sz w:val="20"/>
              </w:rPr>
              <w:t xml:space="preserve">, F 2017 </w:t>
            </w:r>
            <w:r w:rsidRPr="00BD0179">
              <w:rPr>
                <w:b w:val="0"/>
                <w:sz w:val="20"/>
              </w:rPr>
              <w:t>Reconstructing the Original Arrangement, Organisation and Architecture1 of Burials in Archaeology</w:t>
            </w:r>
            <w:r w:rsidRPr="00BD0179">
              <w:rPr>
                <w:b w:val="0"/>
                <w:sz w:val="20"/>
                <w:u w:val="single"/>
              </w:rPr>
              <w:t xml:space="preserve"> In </w:t>
            </w:r>
            <w:proofErr w:type="spellStart"/>
            <w:r w:rsidRPr="00BD0179">
              <w:rPr>
                <w:b w:val="0"/>
                <w:i/>
                <w:sz w:val="20"/>
              </w:rPr>
              <w:t>Taphonomy</w:t>
            </w:r>
            <w:proofErr w:type="spellEnd"/>
            <w:r w:rsidRPr="00BD0179">
              <w:rPr>
                <w:b w:val="0"/>
                <w:i/>
                <w:sz w:val="20"/>
              </w:rPr>
              <w:t xml:space="preserve"> of Human Remains: Forensic analysis of the dead and the </w:t>
            </w:r>
            <w:proofErr w:type="spellStart"/>
            <w:r w:rsidRPr="00BD0179">
              <w:rPr>
                <w:b w:val="0"/>
                <w:i/>
                <w:sz w:val="20"/>
              </w:rPr>
              <w:t>depositonal</w:t>
            </w:r>
            <w:proofErr w:type="spellEnd"/>
            <w:r w:rsidRPr="00BD0179">
              <w:rPr>
                <w:b w:val="0"/>
                <w:i/>
                <w:sz w:val="20"/>
              </w:rPr>
              <w:t xml:space="preserve"> environment.</w:t>
            </w:r>
            <w:r w:rsidRPr="00BD0179">
              <w:rPr>
                <w:b w:val="0"/>
                <w:sz w:val="20"/>
                <w:u w:val="single"/>
              </w:rPr>
              <w:t xml:space="preserve"> </w:t>
            </w:r>
            <w:proofErr w:type="spellStart"/>
            <w:r w:rsidRPr="00BD0179">
              <w:rPr>
                <w:b w:val="0"/>
                <w:sz w:val="20"/>
                <w:u w:val="single"/>
              </w:rPr>
              <w:t>Johnwiley</w:t>
            </w:r>
            <w:proofErr w:type="spellEnd"/>
            <w:r w:rsidRPr="00BD0179">
              <w:rPr>
                <w:b w:val="0"/>
                <w:sz w:val="20"/>
                <w:u w:val="single"/>
              </w:rPr>
              <w:t>. P277-295</w:t>
            </w:r>
          </w:p>
        </w:tc>
        <w:tc>
          <w:tcPr>
            <w:tcW w:w="1168" w:type="pct"/>
          </w:tcPr>
          <w:p w14:paraId="3A6D511C" w14:textId="77777777" w:rsidR="008E561F" w:rsidRDefault="008E561F" w:rsidP="00D808AB">
            <w:pPr>
              <w:pStyle w:val="BodyText"/>
              <w:jc w:val="left"/>
              <w:rPr>
                <w:rFonts w:ascii="Palatino" w:hAnsi="Palatino"/>
                <w:sz w:val="22"/>
                <w:szCs w:val="22"/>
              </w:rPr>
            </w:pPr>
            <w:r>
              <w:rPr>
                <w:rFonts w:ascii="Palatino" w:hAnsi="Palatino"/>
                <w:sz w:val="22"/>
                <w:szCs w:val="22"/>
              </w:rPr>
              <w:t>Describe a monument 1</w:t>
            </w:r>
          </w:p>
          <w:p w14:paraId="0ECD6588" w14:textId="77777777" w:rsidR="0050509F" w:rsidRDefault="0050509F" w:rsidP="00D808AB">
            <w:pPr>
              <w:pStyle w:val="BodyText"/>
              <w:jc w:val="left"/>
              <w:rPr>
                <w:rFonts w:ascii="Palatino" w:hAnsi="Palatino"/>
                <w:sz w:val="22"/>
                <w:szCs w:val="22"/>
              </w:rPr>
            </w:pPr>
          </w:p>
          <w:p w14:paraId="273958B9" w14:textId="00393BA9" w:rsidR="0050509F" w:rsidRDefault="0050509F" w:rsidP="00D808AB">
            <w:pPr>
              <w:pStyle w:val="BodyText"/>
              <w:jc w:val="left"/>
              <w:rPr>
                <w:rFonts w:ascii="Palatino" w:hAnsi="Palatino"/>
                <w:sz w:val="22"/>
                <w:szCs w:val="22"/>
              </w:rPr>
            </w:pPr>
            <w:r w:rsidRPr="0050509F">
              <w:rPr>
                <w:rFonts w:ascii="Palatino" w:hAnsi="Palatino"/>
                <w:color w:val="FF0000"/>
                <w:sz w:val="22"/>
                <w:szCs w:val="22"/>
              </w:rPr>
              <w:t>Oral Presentations</w:t>
            </w:r>
          </w:p>
        </w:tc>
      </w:tr>
      <w:tr w:rsidR="008E561F" w14:paraId="78EA9B3B" w14:textId="77777777" w:rsidTr="008E561F">
        <w:tc>
          <w:tcPr>
            <w:tcW w:w="252" w:type="pct"/>
          </w:tcPr>
          <w:p w14:paraId="1070594C" w14:textId="05FB96C9" w:rsidR="008E561F" w:rsidRDefault="008E561F" w:rsidP="00D808AB">
            <w:pPr>
              <w:pStyle w:val="BodyText"/>
              <w:jc w:val="left"/>
              <w:rPr>
                <w:rFonts w:ascii="Palatino" w:hAnsi="Palatino"/>
                <w:sz w:val="22"/>
                <w:szCs w:val="22"/>
              </w:rPr>
            </w:pPr>
            <w:r>
              <w:rPr>
                <w:rFonts w:ascii="Palatino" w:hAnsi="Palatino"/>
                <w:sz w:val="22"/>
                <w:szCs w:val="22"/>
              </w:rPr>
              <w:lastRenderedPageBreak/>
              <w:t>4</w:t>
            </w:r>
          </w:p>
        </w:tc>
        <w:tc>
          <w:tcPr>
            <w:tcW w:w="426" w:type="pct"/>
          </w:tcPr>
          <w:p w14:paraId="2D4BA3C3" w14:textId="1512E1E2" w:rsidR="008E561F" w:rsidRDefault="008E561F" w:rsidP="00D808AB">
            <w:pPr>
              <w:pStyle w:val="BodyText"/>
              <w:jc w:val="left"/>
              <w:rPr>
                <w:rFonts w:ascii="Palatino" w:hAnsi="Palatino"/>
                <w:sz w:val="22"/>
                <w:szCs w:val="22"/>
              </w:rPr>
            </w:pPr>
            <w:r>
              <w:rPr>
                <w:rFonts w:ascii="Palatino" w:hAnsi="Palatino"/>
                <w:sz w:val="22"/>
                <w:szCs w:val="22"/>
              </w:rPr>
              <w:t>8/8</w:t>
            </w:r>
          </w:p>
        </w:tc>
        <w:tc>
          <w:tcPr>
            <w:tcW w:w="1747" w:type="pct"/>
          </w:tcPr>
          <w:p w14:paraId="3CB64CCB" w14:textId="747AFD12" w:rsidR="008E561F" w:rsidRDefault="008E561F" w:rsidP="00D808AB">
            <w:pPr>
              <w:pStyle w:val="BodyText"/>
              <w:jc w:val="left"/>
              <w:rPr>
                <w:rFonts w:ascii="Palatino" w:hAnsi="Palatino"/>
                <w:sz w:val="22"/>
                <w:szCs w:val="22"/>
              </w:rPr>
            </w:pPr>
            <w:r>
              <w:rPr>
                <w:rFonts w:ascii="Palatino" w:hAnsi="Palatino"/>
                <w:sz w:val="22"/>
                <w:szCs w:val="22"/>
              </w:rPr>
              <w:t>Children and death</w:t>
            </w:r>
          </w:p>
          <w:p w14:paraId="47518BE7" w14:textId="38ACD320" w:rsidR="008E561F" w:rsidRDefault="008E561F" w:rsidP="00D808AB">
            <w:pPr>
              <w:pStyle w:val="BodyText"/>
              <w:jc w:val="left"/>
              <w:rPr>
                <w:rFonts w:ascii="Palatino" w:hAnsi="Palatino"/>
                <w:sz w:val="22"/>
                <w:szCs w:val="22"/>
              </w:rPr>
            </w:pPr>
            <w:r w:rsidRPr="00CB2512">
              <w:rPr>
                <w:rFonts w:ascii="Palatino" w:hAnsi="Palatino"/>
                <w:i/>
                <w:sz w:val="22"/>
                <w:szCs w:val="22"/>
              </w:rPr>
              <w:t xml:space="preserve">Identifying child remains, historic causes of death, </w:t>
            </w:r>
            <w:proofErr w:type="gramStart"/>
            <w:r w:rsidRPr="00CB2512">
              <w:rPr>
                <w:rFonts w:ascii="Palatino" w:hAnsi="Palatino"/>
                <w:i/>
                <w:sz w:val="22"/>
                <w:szCs w:val="22"/>
              </w:rPr>
              <w:t>canaries</w:t>
            </w:r>
            <w:proofErr w:type="gramEnd"/>
            <w:r w:rsidRPr="00CB2512">
              <w:rPr>
                <w:rFonts w:ascii="Palatino" w:hAnsi="Palatino"/>
                <w:i/>
                <w:sz w:val="22"/>
                <w:szCs w:val="22"/>
              </w:rPr>
              <w:t xml:space="preserve"> in the coalmine? Or liminal people</w:t>
            </w:r>
          </w:p>
        </w:tc>
        <w:tc>
          <w:tcPr>
            <w:tcW w:w="1407" w:type="pct"/>
          </w:tcPr>
          <w:p w14:paraId="70AE4B84" w14:textId="77777777" w:rsidR="008E561F" w:rsidRPr="0050509F" w:rsidRDefault="008E561F" w:rsidP="00D808AB">
            <w:pPr>
              <w:rPr>
                <w:rFonts w:ascii="Times New Roman" w:hAnsi="Times New Roman" w:cs="Times New Roman"/>
                <w:sz w:val="20"/>
                <w:szCs w:val="20"/>
              </w:rPr>
            </w:pPr>
            <w:proofErr w:type="spellStart"/>
            <w:r w:rsidRPr="0050509F">
              <w:rPr>
                <w:rFonts w:ascii="Times New Roman" w:hAnsi="Times New Roman" w:cs="Times New Roman"/>
                <w:sz w:val="20"/>
                <w:szCs w:val="20"/>
              </w:rPr>
              <w:t>Halcrow</w:t>
            </w:r>
            <w:proofErr w:type="spellEnd"/>
            <w:r w:rsidRPr="0050509F">
              <w:rPr>
                <w:rFonts w:ascii="Times New Roman" w:hAnsi="Times New Roman" w:cs="Times New Roman"/>
                <w:sz w:val="20"/>
                <w:szCs w:val="20"/>
              </w:rPr>
              <w:t xml:space="preserve">, S and </w:t>
            </w:r>
            <w:proofErr w:type="spellStart"/>
            <w:r w:rsidRPr="0050509F">
              <w:rPr>
                <w:rFonts w:ascii="Times New Roman" w:hAnsi="Times New Roman" w:cs="Times New Roman"/>
                <w:sz w:val="20"/>
                <w:szCs w:val="20"/>
              </w:rPr>
              <w:t>Tayles</w:t>
            </w:r>
            <w:proofErr w:type="spellEnd"/>
            <w:r w:rsidRPr="0050509F">
              <w:rPr>
                <w:rFonts w:ascii="Times New Roman" w:hAnsi="Times New Roman" w:cs="Times New Roman"/>
                <w:sz w:val="20"/>
                <w:szCs w:val="20"/>
              </w:rPr>
              <w:t xml:space="preserve">, N 2008 The </w:t>
            </w:r>
            <w:proofErr w:type="spellStart"/>
            <w:r w:rsidRPr="0050509F">
              <w:rPr>
                <w:rFonts w:ascii="Times New Roman" w:hAnsi="Times New Roman" w:cs="Times New Roman"/>
                <w:sz w:val="20"/>
                <w:szCs w:val="20"/>
              </w:rPr>
              <w:t>bioarchaeological</w:t>
            </w:r>
            <w:proofErr w:type="spellEnd"/>
            <w:r w:rsidRPr="0050509F">
              <w:rPr>
                <w:rFonts w:ascii="Times New Roman" w:hAnsi="Times New Roman" w:cs="Times New Roman"/>
                <w:sz w:val="20"/>
                <w:szCs w:val="20"/>
              </w:rPr>
              <w:t xml:space="preserve"> investigation of childhood and social age: problems and prospects. J Arch Method and </w:t>
            </w:r>
            <w:proofErr w:type="spellStart"/>
            <w:r w:rsidRPr="0050509F">
              <w:rPr>
                <w:rFonts w:ascii="Times New Roman" w:hAnsi="Times New Roman" w:cs="Times New Roman"/>
                <w:sz w:val="20"/>
                <w:szCs w:val="20"/>
              </w:rPr>
              <w:t>Theor</w:t>
            </w:r>
            <w:proofErr w:type="spellEnd"/>
            <w:r w:rsidRPr="0050509F">
              <w:rPr>
                <w:rFonts w:ascii="Times New Roman" w:hAnsi="Times New Roman" w:cs="Times New Roman"/>
                <w:sz w:val="20"/>
                <w:szCs w:val="20"/>
              </w:rPr>
              <w:t xml:space="preserve"> 15(2):190-215</w:t>
            </w:r>
          </w:p>
          <w:p w14:paraId="4B01995B" w14:textId="77777777" w:rsidR="008E561F" w:rsidRPr="0050509F" w:rsidRDefault="008E561F" w:rsidP="00D808AB">
            <w:pPr>
              <w:rPr>
                <w:rFonts w:ascii="Times New Roman" w:hAnsi="Times New Roman" w:cs="Times New Roman"/>
                <w:sz w:val="20"/>
                <w:szCs w:val="20"/>
              </w:rPr>
            </w:pPr>
          </w:p>
          <w:p w14:paraId="6993E80F" w14:textId="77777777" w:rsidR="008E561F" w:rsidRPr="0050509F" w:rsidRDefault="008E561F" w:rsidP="00D808AB">
            <w:pPr>
              <w:rPr>
                <w:rFonts w:ascii="Times New Roman" w:hAnsi="Times New Roman" w:cs="Times New Roman"/>
                <w:sz w:val="20"/>
                <w:szCs w:val="20"/>
              </w:rPr>
            </w:pPr>
            <w:r w:rsidRPr="0050509F">
              <w:rPr>
                <w:rFonts w:ascii="Times New Roman" w:hAnsi="Times New Roman" w:cs="Times New Roman"/>
                <w:sz w:val="20"/>
                <w:szCs w:val="20"/>
              </w:rPr>
              <w:t xml:space="preserve">Moore, A </w:t>
            </w:r>
            <w:r w:rsidRPr="00672137">
              <w:rPr>
                <w:rFonts w:ascii="Times New Roman" w:hAnsi="Times New Roman" w:cs="Times New Roman"/>
                <w:i/>
                <w:sz w:val="20"/>
                <w:szCs w:val="20"/>
              </w:rPr>
              <w:t xml:space="preserve">2009 </w:t>
            </w:r>
            <w:r w:rsidRPr="00672137">
              <w:rPr>
                <w:rFonts w:ascii="Times New Roman" w:hAnsi="Times New Roman" w:cs="Times New Roman"/>
                <w:sz w:val="20"/>
                <w:szCs w:val="20"/>
              </w:rPr>
              <w:t xml:space="preserve">Hearth and home: the burial of infants within </w:t>
            </w:r>
            <w:proofErr w:type="spellStart"/>
            <w:r w:rsidRPr="00672137">
              <w:rPr>
                <w:rFonts w:ascii="Times New Roman" w:hAnsi="Times New Roman" w:cs="Times New Roman"/>
                <w:sz w:val="20"/>
                <w:szCs w:val="20"/>
              </w:rPr>
              <w:t>Romanp</w:t>
            </w:r>
            <w:proofErr w:type="spellEnd"/>
            <w:r w:rsidRPr="00672137">
              <w:rPr>
                <w:rFonts w:ascii="Times New Roman" w:hAnsi="Times New Roman" w:cs="Times New Roman"/>
                <w:sz w:val="20"/>
                <w:szCs w:val="20"/>
              </w:rPr>
              <w:t>-British Domestic contexts</w:t>
            </w:r>
            <w:r w:rsidRPr="00672137">
              <w:rPr>
                <w:rFonts w:ascii="Times New Roman" w:hAnsi="Times New Roman" w:cs="Times New Roman"/>
                <w:i/>
                <w:sz w:val="20"/>
                <w:szCs w:val="20"/>
              </w:rPr>
              <w:t xml:space="preserve">. </w:t>
            </w:r>
            <w:r w:rsidRPr="0050509F">
              <w:rPr>
                <w:rFonts w:ascii="Times New Roman" w:hAnsi="Times New Roman" w:cs="Times New Roman"/>
                <w:sz w:val="20"/>
                <w:szCs w:val="20"/>
              </w:rPr>
              <w:t xml:space="preserve"> Childhood in the Past 2(1):33-54</w:t>
            </w:r>
          </w:p>
          <w:p w14:paraId="17650AEF" w14:textId="77777777" w:rsidR="008E561F" w:rsidRPr="0050509F" w:rsidRDefault="008E561F" w:rsidP="00D808AB">
            <w:pPr>
              <w:pStyle w:val="BodyText"/>
              <w:jc w:val="left"/>
              <w:rPr>
                <w:b w:val="0"/>
                <w:i/>
                <w:color w:val="222222"/>
                <w:sz w:val="20"/>
                <w:shd w:val="clear" w:color="auto" w:fill="FFFFFF"/>
              </w:rPr>
            </w:pPr>
          </w:p>
          <w:p w14:paraId="6A3A70DF" w14:textId="77777777" w:rsidR="008E561F" w:rsidRPr="0050509F" w:rsidRDefault="008E561F" w:rsidP="00D808AB">
            <w:pPr>
              <w:pStyle w:val="BodyText"/>
              <w:jc w:val="left"/>
              <w:rPr>
                <w:b w:val="0"/>
                <w:i/>
                <w:sz w:val="20"/>
              </w:rPr>
            </w:pPr>
            <w:r w:rsidRPr="0050509F">
              <w:rPr>
                <w:b w:val="0"/>
                <w:i/>
                <w:color w:val="222222"/>
                <w:sz w:val="20"/>
                <w:shd w:val="clear" w:color="auto" w:fill="FFFFFF"/>
              </w:rPr>
              <w:t xml:space="preserve">Perry, M. A. (2005). </w:t>
            </w:r>
            <w:r w:rsidRPr="00672137">
              <w:rPr>
                <w:b w:val="0"/>
                <w:color w:val="222222"/>
                <w:sz w:val="20"/>
                <w:shd w:val="clear" w:color="auto" w:fill="FFFFFF"/>
              </w:rPr>
              <w:t>Redefining childhood through bioarchaeology: Toward an archaeological and biological understanding of children in antiquity</w:t>
            </w:r>
            <w:r w:rsidRPr="0050509F">
              <w:rPr>
                <w:b w:val="0"/>
                <w:i/>
                <w:color w:val="222222"/>
                <w:sz w:val="20"/>
                <w:shd w:val="clear" w:color="auto" w:fill="FFFFFF"/>
              </w:rPr>
              <w:t>. </w:t>
            </w:r>
            <w:proofErr w:type="spellStart"/>
            <w:r w:rsidRPr="0050509F">
              <w:rPr>
                <w:b w:val="0"/>
                <w:i/>
                <w:iCs/>
                <w:color w:val="222222"/>
                <w:sz w:val="20"/>
                <w:shd w:val="clear" w:color="auto" w:fill="FFFFFF"/>
              </w:rPr>
              <w:t>Archeological</w:t>
            </w:r>
            <w:proofErr w:type="spellEnd"/>
            <w:r w:rsidRPr="0050509F">
              <w:rPr>
                <w:b w:val="0"/>
                <w:i/>
                <w:iCs/>
                <w:color w:val="222222"/>
                <w:sz w:val="20"/>
                <w:shd w:val="clear" w:color="auto" w:fill="FFFFFF"/>
              </w:rPr>
              <w:t xml:space="preserve"> Papers of the American Anthropological Association</w:t>
            </w:r>
            <w:r w:rsidRPr="0050509F">
              <w:rPr>
                <w:b w:val="0"/>
                <w:i/>
                <w:color w:val="222222"/>
                <w:sz w:val="20"/>
                <w:shd w:val="clear" w:color="auto" w:fill="FFFFFF"/>
              </w:rPr>
              <w:t>, </w:t>
            </w:r>
            <w:r w:rsidRPr="0050509F">
              <w:rPr>
                <w:b w:val="0"/>
                <w:i/>
                <w:iCs/>
                <w:color w:val="222222"/>
                <w:sz w:val="20"/>
                <w:shd w:val="clear" w:color="auto" w:fill="FFFFFF"/>
              </w:rPr>
              <w:t>15</w:t>
            </w:r>
            <w:r w:rsidRPr="0050509F">
              <w:rPr>
                <w:b w:val="0"/>
                <w:i/>
                <w:color w:val="222222"/>
                <w:sz w:val="20"/>
                <w:shd w:val="clear" w:color="auto" w:fill="FFFFFF"/>
              </w:rPr>
              <w:t>(1), 89-111.</w:t>
            </w:r>
          </w:p>
        </w:tc>
        <w:tc>
          <w:tcPr>
            <w:tcW w:w="1168" w:type="pct"/>
          </w:tcPr>
          <w:p w14:paraId="2EB27C04" w14:textId="77777777" w:rsidR="008E561F" w:rsidRDefault="008E561F" w:rsidP="00D808AB">
            <w:pPr>
              <w:pStyle w:val="BodyText"/>
              <w:jc w:val="left"/>
              <w:rPr>
                <w:rFonts w:ascii="Palatino" w:hAnsi="Palatino"/>
                <w:sz w:val="22"/>
                <w:szCs w:val="22"/>
              </w:rPr>
            </w:pPr>
            <w:r>
              <w:rPr>
                <w:rFonts w:ascii="Palatino" w:hAnsi="Palatino"/>
                <w:sz w:val="22"/>
                <w:szCs w:val="22"/>
              </w:rPr>
              <w:t>Describe a monument 2</w:t>
            </w:r>
          </w:p>
          <w:p w14:paraId="104C7315" w14:textId="77777777" w:rsidR="0050509F" w:rsidRDefault="0050509F" w:rsidP="00D808AB">
            <w:pPr>
              <w:pStyle w:val="BodyText"/>
              <w:jc w:val="left"/>
              <w:rPr>
                <w:rFonts w:ascii="Palatino" w:hAnsi="Palatino"/>
                <w:sz w:val="22"/>
                <w:szCs w:val="22"/>
              </w:rPr>
            </w:pPr>
          </w:p>
          <w:p w14:paraId="5F090AA7" w14:textId="572658C0" w:rsidR="0050509F" w:rsidRDefault="0050509F" w:rsidP="00D808AB">
            <w:pPr>
              <w:pStyle w:val="BodyText"/>
              <w:jc w:val="left"/>
              <w:rPr>
                <w:rFonts w:ascii="Palatino" w:hAnsi="Palatino"/>
                <w:sz w:val="22"/>
                <w:szCs w:val="22"/>
              </w:rPr>
            </w:pPr>
            <w:r w:rsidRPr="0050509F">
              <w:rPr>
                <w:rFonts w:ascii="Palatino" w:hAnsi="Palatino"/>
                <w:color w:val="FF0000"/>
                <w:sz w:val="22"/>
                <w:szCs w:val="22"/>
              </w:rPr>
              <w:t>Oral presentations</w:t>
            </w:r>
          </w:p>
        </w:tc>
      </w:tr>
      <w:tr w:rsidR="008E561F" w14:paraId="35F3B913" w14:textId="77777777" w:rsidTr="008E561F">
        <w:tc>
          <w:tcPr>
            <w:tcW w:w="252" w:type="pct"/>
          </w:tcPr>
          <w:p w14:paraId="45C6A971" w14:textId="1FD45E96" w:rsidR="008E561F" w:rsidRDefault="008E561F" w:rsidP="00D808AB">
            <w:pPr>
              <w:pStyle w:val="BodyText"/>
              <w:jc w:val="left"/>
              <w:rPr>
                <w:rFonts w:ascii="Palatino" w:hAnsi="Palatino"/>
                <w:sz w:val="22"/>
                <w:szCs w:val="22"/>
              </w:rPr>
            </w:pPr>
            <w:r>
              <w:rPr>
                <w:rFonts w:ascii="Palatino" w:hAnsi="Palatino"/>
                <w:sz w:val="22"/>
                <w:szCs w:val="22"/>
              </w:rPr>
              <w:t>5</w:t>
            </w:r>
          </w:p>
        </w:tc>
        <w:tc>
          <w:tcPr>
            <w:tcW w:w="426" w:type="pct"/>
          </w:tcPr>
          <w:p w14:paraId="38631D19" w14:textId="411E62F2" w:rsidR="008E561F" w:rsidRDefault="008E561F" w:rsidP="00D808AB">
            <w:pPr>
              <w:pStyle w:val="BodyText"/>
              <w:jc w:val="left"/>
              <w:rPr>
                <w:rFonts w:ascii="Palatino" w:hAnsi="Palatino"/>
                <w:sz w:val="22"/>
                <w:szCs w:val="22"/>
              </w:rPr>
            </w:pPr>
            <w:r>
              <w:rPr>
                <w:rFonts w:ascii="Palatino" w:hAnsi="Palatino"/>
                <w:sz w:val="22"/>
                <w:szCs w:val="22"/>
              </w:rPr>
              <w:t>15/8</w:t>
            </w:r>
          </w:p>
        </w:tc>
        <w:tc>
          <w:tcPr>
            <w:tcW w:w="1747" w:type="pct"/>
          </w:tcPr>
          <w:p w14:paraId="7BE45C64" w14:textId="49D62C02" w:rsidR="008E561F" w:rsidRDefault="008E561F" w:rsidP="00D808AB">
            <w:pPr>
              <w:pStyle w:val="BodyText"/>
              <w:jc w:val="left"/>
              <w:rPr>
                <w:rFonts w:ascii="Palatino" w:hAnsi="Palatino"/>
                <w:sz w:val="22"/>
                <w:szCs w:val="22"/>
              </w:rPr>
            </w:pPr>
            <w:r>
              <w:rPr>
                <w:rFonts w:ascii="Palatino" w:hAnsi="Palatino"/>
                <w:sz w:val="22"/>
                <w:szCs w:val="22"/>
              </w:rPr>
              <w:t>Embodying inequality</w:t>
            </w:r>
          </w:p>
          <w:p w14:paraId="5B521C38" w14:textId="02B975F2" w:rsidR="008E561F" w:rsidRDefault="008E561F" w:rsidP="00D808AB">
            <w:pPr>
              <w:pStyle w:val="BodyText"/>
              <w:jc w:val="left"/>
              <w:rPr>
                <w:rFonts w:ascii="Palatino" w:hAnsi="Palatino"/>
                <w:sz w:val="22"/>
                <w:szCs w:val="22"/>
              </w:rPr>
            </w:pPr>
            <w:r w:rsidRPr="00CB2512">
              <w:rPr>
                <w:rFonts w:ascii="Palatino" w:hAnsi="Palatino"/>
                <w:i/>
                <w:sz w:val="22"/>
                <w:szCs w:val="22"/>
              </w:rPr>
              <w:t xml:space="preserve">Identifying inequality in the </w:t>
            </w:r>
            <w:proofErr w:type="spellStart"/>
            <w:r w:rsidRPr="00CB2512">
              <w:rPr>
                <w:rFonts w:ascii="Palatino" w:hAnsi="Palatino"/>
                <w:i/>
                <w:sz w:val="22"/>
                <w:szCs w:val="22"/>
              </w:rPr>
              <w:t>bioarchaeological</w:t>
            </w:r>
            <w:proofErr w:type="spellEnd"/>
            <w:r w:rsidRPr="00CB2512">
              <w:rPr>
                <w:rFonts w:ascii="Palatino" w:hAnsi="Palatino"/>
                <w:i/>
                <w:sz w:val="22"/>
                <w:szCs w:val="22"/>
              </w:rPr>
              <w:t xml:space="preserve"> record – what do we mean by inequality, status, and identity, status and graves, status and health</w:t>
            </w:r>
          </w:p>
        </w:tc>
        <w:tc>
          <w:tcPr>
            <w:tcW w:w="1407" w:type="pct"/>
          </w:tcPr>
          <w:p w14:paraId="1A6130A5" w14:textId="795B4468" w:rsidR="008E561F" w:rsidRPr="00135867" w:rsidRDefault="00135867" w:rsidP="00D808AB">
            <w:pPr>
              <w:pStyle w:val="BodyText"/>
              <w:jc w:val="left"/>
              <w:rPr>
                <w:b w:val="0"/>
                <w:color w:val="222222"/>
                <w:sz w:val="20"/>
                <w:shd w:val="clear" w:color="auto" w:fill="FFFFFF"/>
              </w:rPr>
            </w:pPr>
            <w:r w:rsidRPr="00135867">
              <w:rPr>
                <w:rFonts w:ascii="Arial" w:hAnsi="Arial" w:cs="Arial"/>
                <w:b w:val="0"/>
                <w:color w:val="222222"/>
                <w:sz w:val="20"/>
                <w:shd w:val="clear" w:color="auto" w:fill="FFFFFF"/>
              </w:rPr>
              <w:t xml:space="preserve">Knudson, K. J., &amp; </w:t>
            </w:r>
            <w:proofErr w:type="spellStart"/>
            <w:r w:rsidRPr="00135867">
              <w:rPr>
                <w:rFonts w:ascii="Arial" w:hAnsi="Arial" w:cs="Arial"/>
                <w:b w:val="0"/>
                <w:color w:val="222222"/>
                <w:sz w:val="20"/>
                <w:shd w:val="clear" w:color="auto" w:fill="FFFFFF"/>
              </w:rPr>
              <w:t>Stojanowski</w:t>
            </w:r>
            <w:proofErr w:type="spellEnd"/>
            <w:r w:rsidRPr="00135867">
              <w:rPr>
                <w:rFonts w:ascii="Arial" w:hAnsi="Arial" w:cs="Arial"/>
                <w:b w:val="0"/>
                <w:color w:val="222222"/>
                <w:sz w:val="20"/>
                <w:shd w:val="clear" w:color="auto" w:fill="FFFFFF"/>
              </w:rPr>
              <w:t>, C. M. (2008). New directions in bioarchaeology: Recent contributions to the study of human social identities. </w:t>
            </w:r>
            <w:r w:rsidRPr="00135867">
              <w:rPr>
                <w:rFonts w:ascii="Arial" w:hAnsi="Arial" w:cs="Arial"/>
                <w:b w:val="0"/>
                <w:i/>
                <w:iCs/>
                <w:color w:val="222222"/>
                <w:sz w:val="20"/>
                <w:shd w:val="clear" w:color="auto" w:fill="FFFFFF"/>
              </w:rPr>
              <w:t>Journal of Archaeological Research</w:t>
            </w:r>
            <w:r w:rsidRPr="00135867">
              <w:rPr>
                <w:rFonts w:ascii="Arial" w:hAnsi="Arial" w:cs="Arial"/>
                <w:b w:val="0"/>
                <w:color w:val="222222"/>
                <w:sz w:val="20"/>
                <w:shd w:val="clear" w:color="auto" w:fill="FFFFFF"/>
              </w:rPr>
              <w:t>, </w:t>
            </w:r>
            <w:r w:rsidRPr="00135867">
              <w:rPr>
                <w:rFonts w:ascii="Arial" w:hAnsi="Arial" w:cs="Arial"/>
                <w:b w:val="0"/>
                <w:i/>
                <w:iCs/>
                <w:color w:val="222222"/>
                <w:sz w:val="20"/>
                <w:shd w:val="clear" w:color="auto" w:fill="FFFFFF"/>
              </w:rPr>
              <w:t>16</w:t>
            </w:r>
            <w:r w:rsidRPr="00135867">
              <w:rPr>
                <w:rFonts w:ascii="Arial" w:hAnsi="Arial" w:cs="Arial"/>
                <w:b w:val="0"/>
                <w:color w:val="222222"/>
                <w:sz w:val="20"/>
                <w:shd w:val="clear" w:color="auto" w:fill="FFFFFF"/>
              </w:rPr>
              <w:t>(4), 397-432</w:t>
            </w:r>
            <w:r w:rsidRPr="00135867">
              <w:rPr>
                <w:b w:val="0"/>
                <w:color w:val="222222"/>
                <w:sz w:val="20"/>
                <w:shd w:val="clear" w:color="auto" w:fill="FFFFFF"/>
              </w:rPr>
              <w:t xml:space="preserve"> </w:t>
            </w:r>
          </w:p>
          <w:p w14:paraId="3D5C336E" w14:textId="77777777" w:rsidR="00135867" w:rsidRPr="0050509F" w:rsidRDefault="00135867" w:rsidP="00D808AB">
            <w:pPr>
              <w:pStyle w:val="BodyText"/>
              <w:jc w:val="left"/>
              <w:rPr>
                <w:b w:val="0"/>
                <w:color w:val="222222"/>
                <w:sz w:val="20"/>
                <w:shd w:val="clear" w:color="auto" w:fill="FFFFFF"/>
              </w:rPr>
            </w:pPr>
          </w:p>
          <w:p w14:paraId="7EE0C8BF" w14:textId="77777777" w:rsidR="008E561F" w:rsidRPr="0050509F" w:rsidRDefault="008E561F" w:rsidP="00D808AB">
            <w:pPr>
              <w:pStyle w:val="BodyText"/>
              <w:jc w:val="left"/>
              <w:rPr>
                <w:b w:val="0"/>
                <w:color w:val="222222"/>
                <w:sz w:val="20"/>
                <w:shd w:val="clear" w:color="auto" w:fill="FFFFFF"/>
              </w:rPr>
            </w:pPr>
            <w:r w:rsidRPr="0050509F">
              <w:rPr>
                <w:b w:val="0"/>
                <w:color w:val="222222"/>
                <w:sz w:val="20"/>
                <w:shd w:val="clear" w:color="auto" w:fill="FFFFFF"/>
              </w:rPr>
              <w:t>Joyce, R. A. (2005). Archaeology of the body. </w:t>
            </w:r>
            <w:proofErr w:type="spellStart"/>
            <w:r w:rsidRPr="0050509F">
              <w:rPr>
                <w:b w:val="0"/>
                <w:i/>
                <w:iCs/>
                <w:color w:val="222222"/>
                <w:sz w:val="20"/>
                <w:shd w:val="clear" w:color="auto" w:fill="FFFFFF"/>
              </w:rPr>
              <w:t>Annu</w:t>
            </w:r>
            <w:proofErr w:type="spellEnd"/>
            <w:r w:rsidRPr="0050509F">
              <w:rPr>
                <w:b w:val="0"/>
                <w:i/>
                <w:iCs/>
                <w:color w:val="222222"/>
                <w:sz w:val="20"/>
                <w:shd w:val="clear" w:color="auto" w:fill="FFFFFF"/>
              </w:rPr>
              <w:t xml:space="preserve">. Rev. </w:t>
            </w:r>
            <w:proofErr w:type="spellStart"/>
            <w:r w:rsidRPr="0050509F">
              <w:rPr>
                <w:b w:val="0"/>
                <w:i/>
                <w:iCs/>
                <w:color w:val="222222"/>
                <w:sz w:val="20"/>
                <w:shd w:val="clear" w:color="auto" w:fill="FFFFFF"/>
              </w:rPr>
              <w:t>Anthropol</w:t>
            </w:r>
            <w:proofErr w:type="spellEnd"/>
            <w:r w:rsidRPr="0050509F">
              <w:rPr>
                <w:b w:val="0"/>
                <w:i/>
                <w:iCs/>
                <w:color w:val="222222"/>
                <w:sz w:val="20"/>
                <w:shd w:val="clear" w:color="auto" w:fill="FFFFFF"/>
              </w:rPr>
              <w:t>.</w:t>
            </w:r>
            <w:r w:rsidRPr="0050509F">
              <w:rPr>
                <w:b w:val="0"/>
                <w:color w:val="222222"/>
                <w:sz w:val="20"/>
                <w:shd w:val="clear" w:color="auto" w:fill="FFFFFF"/>
              </w:rPr>
              <w:t>, </w:t>
            </w:r>
            <w:r w:rsidRPr="0050509F">
              <w:rPr>
                <w:b w:val="0"/>
                <w:i/>
                <w:iCs/>
                <w:color w:val="222222"/>
                <w:sz w:val="20"/>
                <w:shd w:val="clear" w:color="auto" w:fill="FFFFFF"/>
              </w:rPr>
              <w:t>34</w:t>
            </w:r>
            <w:r w:rsidRPr="0050509F">
              <w:rPr>
                <w:b w:val="0"/>
                <w:color w:val="222222"/>
                <w:sz w:val="20"/>
                <w:shd w:val="clear" w:color="auto" w:fill="FFFFFF"/>
              </w:rPr>
              <w:t>, 139-158.</w:t>
            </w:r>
          </w:p>
          <w:p w14:paraId="1D93D7CD" w14:textId="77777777" w:rsidR="008E561F" w:rsidRPr="0050509F" w:rsidRDefault="008E561F" w:rsidP="00D808AB">
            <w:pPr>
              <w:shd w:val="clear" w:color="auto" w:fill="F3F3F3"/>
              <w:spacing w:line="336" w:lineRule="atLeast"/>
              <w:rPr>
                <w:rFonts w:ascii="Times New Roman" w:hAnsi="Times New Roman" w:cs="Times New Roman"/>
                <w:i/>
                <w:sz w:val="20"/>
                <w:szCs w:val="20"/>
              </w:rPr>
            </w:pPr>
          </w:p>
          <w:p w14:paraId="10823E3A" w14:textId="4BCA8D3E" w:rsidR="008E561F" w:rsidRPr="0050509F" w:rsidRDefault="008E561F" w:rsidP="00DD606D">
            <w:pPr>
              <w:shd w:val="clear" w:color="auto" w:fill="F3F3F3"/>
              <w:rPr>
                <w:rFonts w:ascii="Times New Roman" w:hAnsi="Times New Roman" w:cs="Times New Roman"/>
                <w:sz w:val="20"/>
                <w:szCs w:val="20"/>
              </w:rPr>
            </w:pPr>
            <w:r w:rsidRPr="0050509F">
              <w:rPr>
                <w:rFonts w:ascii="Times New Roman" w:hAnsi="Times New Roman" w:cs="Times New Roman"/>
                <w:i/>
                <w:sz w:val="20"/>
                <w:szCs w:val="20"/>
              </w:rPr>
              <w:t xml:space="preserve">Quinn, C.P. ; Beck, J. </w:t>
            </w:r>
            <w:r w:rsidRPr="0050509F">
              <w:rPr>
                <w:rFonts w:ascii="Times New Roman" w:hAnsi="Times New Roman" w:cs="Times New Roman"/>
                <w:i/>
                <w:sz w:val="20"/>
                <w:szCs w:val="20"/>
              </w:rPr>
              <w:t xml:space="preserve">(2016) </w:t>
            </w:r>
            <w:hyperlink r:id="rId14" w:history="1">
              <w:r w:rsidRPr="0050509F">
                <w:rPr>
                  <w:rStyle w:val="Hyperlink"/>
                  <w:rFonts w:ascii="Times New Roman" w:hAnsi="Times New Roman" w:cs="Times New Roman"/>
                  <w:color w:val="auto"/>
                  <w:sz w:val="20"/>
                  <w:szCs w:val="20"/>
                  <w:u w:val="none"/>
                </w:rPr>
                <w:t>Essential tensions: A framework for exploring inequality through mortuary archaeology and bioarchaeology</w:t>
              </w:r>
            </w:hyperlink>
          </w:p>
          <w:p w14:paraId="6F99EDD7" w14:textId="77777777" w:rsidR="008E561F" w:rsidRPr="0050509F" w:rsidRDefault="008E561F" w:rsidP="00DD606D">
            <w:pPr>
              <w:pStyle w:val="BodyText"/>
              <w:jc w:val="left"/>
              <w:rPr>
                <w:b w:val="0"/>
                <w:color w:val="3A3A3A"/>
                <w:sz w:val="20"/>
              </w:rPr>
            </w:pPr>
            <w:r w:rsidRPr="0050509F">
              <w:rPr>
                <w:b w:val="0"/>
                <w:i/>
                <w:sz w:val="20"/>
              </w:rPr>
              <w:t>Open Archaeology, January 2016, Vol.2(1), pp.18-41</w:t>
            </w:r>
          </w:p>
        </w:tc>
        <w:tc>
          <w:tcPr>
            <w:tcW w:w="1168" w:type="pct"/>
          </w:tcPr>
          <w:p w14:paraId="7F4648D6" w14:textId="77777777" w:rsidR="008E561F" w:rsidRDefault="008E561F" w:rsidP="00D808AB">
            <w:pPr>
              <w:pStyle w:val="BodyText"/>
              <w:jc w:val="left"/>
              <w:rPr>
                <w:rFonts w:ascii="Palatino" w:hAnsi="Palatino"/>
                <w:sz w:val="22"/>
                <w:szCs w:val="22"/>
              </w:rPr>
            </w:pPr>
            <w:r>
              <w:rPr>
                <w:rFonts w:ascii="Palatino" w:hAnsi="Palatino"/>
                <w:sz w:val="22"/>
                <w:szCs w:val="22"/>
              </w:rPr>
              <w:t>Bone as living tissue and animal versus human</w:t>
            </w:r>
          </w:p>
          <w:p w14:paraId="46654422" w14:textId="5D2ACACE" w:rsidR="008E561F" w:rsidRDefault="008E561F" w:rsidP="00D808AB">
            <w:pPr>
              <w:pStyle w:val="BodyText"/>
              <w:jc w:val="left"/>
              <w:rPr>
                <w:rFonts w:ascii="Palatino" w:hAnsi="Palatino"/>
                <w:sz w:val="22"/>
                <w:szCs w:val="22"/>
              </w:rPr>
            </w:pPr>
            <w:r>
              <w:rPr>
                <w:rFonts w:ascii="Palatino" w:hAnsi="Palatino"/>
                <w:sz w:val="22"/>
                <w:szCs w:val="22"/>
              </w:rPr>
              <w:t>SUBMIT MONUMENT ANALYSIS</w:t>
            </w:r>
            <w:r w:rsidR="0050509F">
              <w:rPr>
                <w:rFonts w:ascii="Palatino" w:hAnsi="Palatino"/>
                <w:sz w:val="22"/>
                <w:szCs w:val="22"/>
              </w:rPr>
              <w:t xml:space="preserve"> 15</w:t>
            </w:r>
            <w:r w:rsidR="0050509F" w:rsidRPr="0050509F">
              <w:rPr>
                <w:rFonts w:ascii="Palatino" w:hAnsi="Palatino"/>
                <w:sz w:val="22"/>
                <w:szCs w:val="22"/>
                <w:vertAlign w:val="superscript"/>
              </w:rPr>
              <w:t>th</w:t>
            </w:r>
            <w:r w:rsidR="0050509F">
              <w:rPr>
                <w:rFonts w:ascii="Palatino" w:hAnsi="Palatino"/>
                <w:sz w:val="22"/>
                <w:szCs w:val="22"/>
              </w:rPr>
              <w:t xml:space="preserve"> August</w:t>
            </w:r>
            <w:r w:rsidR="00684D0C">
              <w:rPr>
                <w:rFonts w:ascii="Palatino" w:hAnsi="Palatino"/>
                <w:sz w:val="22"/>
                <w:szCs w:val="22"/>
              </w:rPr>
              <w:t xml:space="preserve"> 3pm.</w:t>
            </w:r>
          </w:p>
        </w:tc>
      </w:tr>
      <w:tr w:rsidR="008E561F" w14:paraId="4C24270C" w14:textId="77777777" w:rsidTr="008E561F">
        <w:tc>
          <w:tcPr>
            <w:tcW w:w="252" w:type="pct"/>
          </w:tcPr>
          <w:p w14:paraId="6BFA4F4A" w14:textId="313D517F" w:rsidR="008E561F" w:rsidRDefault="008E561F" w:rsidP="00D808AB">
            <w:pPr>
              <w:pStyle w:val="BodyText"/>
              <w:jc w:val="left"/>
              <w:rPr>
                <w:rFonts w:ascii="Palatino" w:hAnsi="Palatino"/>
                <w:sz w:val="22"/>
                <w:szCs w:val="22"/>
              </w:rPr>
            </w:pPr>
            <w:r>
              <w:rPr>
                <w:rFonts w:ascii="Palatino" w:hAnsi="Palatino"/>
                <w:sz w:val="22"/>
                <w:szCs w:val="22"/>
              </w:rPr>
              <w:t>6</w:t>
            </w:r>
          </w:p>
        </w:tc>
        <w:tc>
          <w:tcPr>
            <w:tcW w:w="426" w:type="pct"/>
          </w:tcPr>
          <w:p w14:paraId="794A8BB3" w14:textId="715F317C" w:rsidR="008E561F" w:rsidRDefault="008E561F" w:rsidP="00D808AB">
            <w:pPr>
              <w:pStyle w:val="BodyText"/>
              <w:jc w:val="left"/>
              <w:rPr>
                <w:rFonts w:ascii="Palatino" w:hAnsi="Palatino"/>
                <w:sz w:val="22"/>
                <w:szCs w:val="22"/>
              </w:rPr>
            </w:pPr>
            <w:r>
              <w:rPr>
                <w:rFonts w:ascii="Palatino" w:hAnsi="Palatino"/>
                <w:sz w:val="22"/>
                <w:szCs w:val="22"/>
              </w:rPr>
              <w:t>22/8</w:t>
            </w:r>
          </w:p>
        </w:tc>
        <w:tc>
          <w:tcPr>
            <w:tcW w:w="1747" w:type="pct"/>
          </w:tcPr>
          <w:p w14:paraId="70778555" w14:textId="4D600FCA" w:rsidR="008E561F" w:rsidRDefault="008E561F" w:rsidP="00D808AB">
            <w:pPr>
              <w:pStyle w:val="BodyText"/>
              <w:jc w:val="left"/>
              <w:rPr>
                <w:rFonts w:ascii="Palatino" w:hAnsi="Palatino"/>
                <w:sz w:val="22"/>
                <w:szCs w:val="22"/>
              </w:rPr>
            </w:pPr>
            <w:r>
              <w:rPr>
                <w:rFonts w:ascii="Palatino" w:hAnsi="Palatino"/>
                <w:sz w:val="22"/>
                <w:szCs w:val="22"/>
              </w:rPr>
              <w:t>Gender, labour and violence</w:t>
            </w:r>
          </w:p>
          <w:p w14:paraId="620FD6E1" w14:textId="34430D7C" w:rsidR="008E561F" w:rsidRDefault="008E561F" w:rsidP="00D808AB">
            <w:pPr>
              <w:pStyle w:val="BodyText"/>
              <w:jc w:val="left"/>
              <w:rPr>
                <w:rFonts w:ascii="Palatino" w:hAnsi="Palatino"/>
                <w:sz w:val="22"/>
                <w:szCs w:val="22"/>
              </w:rPr>
            </w:pPr>
            <w:r w:rsidRPr="00CB2512">
              <w:rPr>
                <w:rFonts w:ascii="Palatino" w:hAnsi="Palatino"/>
                <w:i/>
                <w:sz w:val="22"/>
                <w:szCs w:val="22"/>
              </w:rPr>
              <w:t>Sexing adult remains, sex vs gender, trauma and violence</w:t>
            </w:r>
          </w:p>
        </w:tc>
        <w:tc>
          <w:tcPr>
            <w:tcW w:w="1407" w:type="pct"/>
          </w:tcPr>
          <w:p w14:paraId="4347B5A8" w14:textId="77777777" w:rsidR="008E561F" w:rsidRPr="0050509F" w:rsidRDefault="008E561F" w:rsidP="00D808AB">
            <w:pPr>
              <w:rPr>
                <w:rFonts w:ascii="Times New Roman" w:eastAsia="Calibri" w:hAnsi="Times New Roman" w:cs="Times New Roman"/>
                <w:sz w:val="20"/>
                <w:szCs w:val="20"/>
                <w:lang w:eastAsia="en-NZ"/>
              </w:rPr>
            </w:pPr>
            <w:proofErr w:type="spellStart"/>
            <w:r w:rsidRPr="0050509F">
              <w:rPr>
                <w:rFonts w:ascii="Times New Roman" w:eastAsia="Calibri" w:hAnsi="Times New Roman" w:cs="Times New Roman"/>
                <w:sz w:val="20"/>
                <w:szCs w:val="20"/>
                <w:lang w:eastAsia="en-NZ"/>
              </w:rPr>
              <w:t>Hollimon</w:t>
            </w:r>
            <w:proofErr w:type="spellEnd"/>
            <w:r w:rsidRPr="0050509F">
              <w:rPr>
                <w:rFonts w:ascii="Times New Roman" w:eastAsia="Calibri" w:hAnsi="Times New Roman" w:cs="Times New Roman"/>
                <w:sz w:val="20"/>
                <w:szCs w:val="20"/>
                <w:lang w:eastAsia="en-NZ"/>
              </w:rPr>
              <w:t xml:space="preserve">, S 2011 Sex and gender in </w:t>
            </w:r>
            <w:proofErr w:type="spellStart"/>
            <w:r w:rsidRPr="0050509F">
              <w:rPr>
                <w:rFonts w:ascii="Times New Roman" w:eastAsia="Calibri" w:hAnsi="Times New Roman" w:cs="Times New Roman"/>
                <w:sz w:val="20"/>
                <w:szCs w:val="20"/>
                <w:lang w:eastAsia="en-NZ"/>
              </w:rPr>
              <w:t>bioarchaeological</w:t>
            </w:r>
            <w:proofErr w:type="spellEnd"/>
            <w:r w:rsidRPr="0050509F">
              <w:rPr>
                <w:rFonts w:ascii="Times New Roman" w:eastAsia="Calibri" w:hAnsi="Times New Roman" w:cs="Times New Roman"/>
                <w:sz w:val="20"/>
                <w:szCs w:val="20"/>
                <w:lang w:eastAsia="en-NZ"/>
              </w:rPr>
              <w:t xml:space="preserve"> research: theory method and interpretation In </w:t>
            </w:r>
            <w:r w:rsidRPr="0050509F">
              <w:rPr>
                <w:rFonts w:ascii="Times New Roman" w:eastAsia="Calibri" w:hAnsi="Times New Roman" w:cs="Times New Roman"/>
                <w:sz w:val="20"/>
                <w:szCs w:val="20"/>
                <w:u w:val="single"/>
                <w:lang w:eastAsia="en-NZ"/>
              </w:rPr>
              <w:t>Social Bioarchaeology</w:t>
            </w:r>
            <w:r w:rsidRPr="0050509F">
              <w:rPr>
                <w:rFonts w:ascii="Times New Roman" w:eastAsia="Calibri" w:hAnsi="Times New Roman" w:cs="Times New Roman"/>
                <w:sz w:val="20"/>
                <w:szCs w:val="20"/>
                <w:lang w:eastAsia="en-NZ"/>
              </w:rPr>
              <w:t xml:space="preserve"> edited by S Agrawal and B Glencross, Wiley-Blackwell, p.149-182 </w:t>
            </w:r>
          </w:p>
          <w:p w14:paraId="70AD4C1C" w14:textId="77777777" w:rsidR="008E561F" w:rsidRPr="0050509F" w:rsidRDefault="008E561F" w:rsidP="00D808AB">
            <w:pPr>
              <w:pStyle w:val="BodyText"/>
              <w:jc w:val="left"/>
              <w:rPr>
                <w:b w:val="0"/>
                <w:sz w:val="20"/>
              </w:rPr>
            </w:pPr>
          </w:p>
          <w:p w14:paraId="3110B4B1" w14:textId="77777777" w:rsidR="008E561F" w:rsidRPr="0050509F" w:rsidRDefault="008E561F" w:rsidP="00D808AB">
            <w:pPr>
              <w:pStyle w:val="BodyText"/>
              <w:jc w:val="left"/>
              <w:rPr>
                <w:b w:val="0"/>
                <w:sz w:val="20"/>
              </w:rPr>
            </w:pPr>
            <w:r w:rsidRPr="0050509F">
              <w:rPr>
                <w:b w:val="0"/>
                <w:sz w:val="20"/>
              </w:rPr>
              <w:t xml:space="preserve">Stone, Pamela 2012 Binding women: ethnology, skeletal deformations, and violence against women.  </w:t>
            </w:r>
            <w:proofErr w:type="spellStart"/>
            <w:r w:rsidRPr="0050509F">
              <w:rPr>
                <w:b w:val="0"/>
                <w:sz w:val="20"/>
                <w:u w:val="single"/>
              </w:rPr>
              <w:t>Int</w:t>
            </w:r>
            <w:proofErr w:type="spellEnd"/>
            <w:r w:rsidRPr="0050509F">
              <w:rPr>
                <w:b w:val="0"/>
                <w:sz w:val="20"/>
                <w:u w:val="single"/>
              </w:rPr>
              <w:t xml:space="preserve"> J </w:t>
            </w:r>
            <w:proofErr w:type="spellStart"/>
            <w:r w:rsidRPr="0050509F">
              <w:rPr>
                <w:b w:val="0"/>
                <w:sz w:val="20"/>
                <w:u w:val="single"/>
              </w:rPr>
              <w:t>Paleopath</w:t>
            </w:r>
            <w:proofErr w:type="spellEnd"/>
            <w:r w:rsidRPr="0050509F">
              <w:rPr>
                <w:b w:val="0"/>
                <w:sz w:val="20"/>
              </w:rPr>
              <w:t xml:space="preserve"> 2: 35-50</w:t>
            </w:r>
          </w:p>
          <w:p w14:paraId="434DB2F3" w14:textId="77777777" w:rsidR="008E561F" w:rsidRPr="0050509F" w:rsidRDefault="008E561F" w:rsidP="00D808AB">
            <w:pPr>
              <w:pStyle w:val="BodyText"/>
              <w:jc w:val="left"/>
              <w:rPr>
                <w:b w:val="0"/>
                <w:i/>
                <w:color w:val="222222"/>
                <w:sz w:val="20"/>
                <w:shd w:val="clear" w:color="auto" w:fill="FFFFFF"/>
              </w:rPr>
            </w:pPr>
          </w:p>
          <w:p w14:paraId="68F0A8CA" w14:textId="77777777" w:rsidR="008E561F" w:rsidRPr="0050509F" w:rsidRDefault="008E561F" w:rsidP="00D808AB">
            <w:pPr>
              <w:pStyle w:val="BodyText"/>
              <w:jc w:val="left"/>
              <w:rPr>
                <w:b w:val="0"/>
                <w:sz w:val="20"/>
              </w:rPr>
            </w:pPr>
            <w:r w:rsidRPr="0050509F">
              <w:rPr>
                <w:b w:val="0"/>
                <w:i/>
                <w:color w:val="222222"/>
                <w:sz w:val="20"/>
                <w:shd w:val="clear" w:color="auto" w:fill="FFFFFF"/>
              </w:rPr>
              <w:t xml:space="preserve">Jordan, A. M. (2016). Her mirror, his sword: unbinding binary gender and sex assumptions </w:t>
            </w:r>
            <w:r w:rsidRPr="0050509F">
              <w:rPr>
                <w:b w:val="0"/>
                <w:i/>
                <w:color w:val="222222"/>
                <w:sz w:val="20"/>
                <w:shd w:val="clear" w:color="auto" w:fill="FFFFFF"/>
              </w:rPr>
              <w:lastRenderedPageBreak/>
              <w:t>in Iron Age British mortuary traditions. </w:t>
            </w:r>
            <w:r w:rsidRPr="0050509F">
              <w:rPr>
                <w:b w:val="0"/>
                <w:i/>
                <w:iCs/>
                <w:color w:val="222222"/>
                <w:sz w:val="20"/>
                <w:shd w:val="clear" w:color="auto" w:fill="FFFFFF"/>
              </w:rPr>
              <w:t>Journal of Archaeological Method and Theory</w:t>
            </w:r>
            <w:r w:rsidRPr="0050509F">
              <w:rPr>
                <w:b w:val="0"/>
                <w:color w:val="222222"/>
                <w:sz w:val="20"/>
                <w:shd w:val="clear" w:color="auto" w:fill="FFFFFF"/>
              </w:rPr>
              <w:t>, </w:t>
            </w:r>
            <w:r w:rsidRPr="0050509F">
              <w:rPr>
                <w:b w:val="0"/>
                <w:i/>
                <w:iCs/>
                <w:color w:val="222222"/>
                <w:sz w:val="20"/>
                <w:shd w:val="clear" w:color="auto" w:fill="FFFFFF"/>
              </w:rPr>
              <w:t>23</w:t>
            </w:r>
            <w:r w:rsidRPr="0050509F">
              <w:rPr>
                <w:b w:val="0"/>
                <w:color w:val="222222"/>
                <w:sz w:val="20"/>
                <w:shd w:val="clear" w:color="auto" w:fill="FFFFFF"/>
              </w:rPr>
              <w:t>(3), 870-899.</w:t>
            </w:r>
          </w:p>
        </w:tc>
        <w:tc>
          <w:tcPr>
            <w:tcW w:w="1168" w:type="pct"/>
          </w:tcPr>
          <w:p w14:paraId="738839F3" w14:textId="2F679651" w:rsidR="008E561F" w:rsidRDefault="008E561F" w:rsidP="00D808AB">
            <w:pPr>
              <w:pStyle w:val="BodyText"/>
              <w:jc w:val="left"/>
              <w:rPr>
                <w:rFonts w:ascii="Palatino" w:hAnsi="Palatino"/>
                <w:sz w:val="22"/>
                <w:szCs w:val="22"/>
              </w:rPr>
            </w:pPr>
            <w:r>
              <w:rPr>
                <w:rFonts w:ascii="Palatino" w:hAnsi="Palatino"/>
                <w:sz w:val="22"/>
                <w:szCs w:val="22"/>
              </w:rPr>
              <w:lastRenderedPageBreak/>
              <w:t>Human identification</w:t>
            </w:r>
            <w:r>
              <w:rPr>
                <w:rFonts w:ascii="Palatino" w:hAnsi="Palatino"/>
                <w:sz w:val="22"/>
                <w:szCs w:val="22"/>
              </w:rPr>
              <w:t xml:space="preserve"> 1</w:t>
            </w:r>
            <w:r>
              <w:rPr>
                <w:rFonts w:ascii="Palatino" w:hAnsi="Palatino"/>
                <w:sz w:val="22"/>
                <w:szCs w:val="22"/>
              </w:rPr>
              <w:br/>
              <w:t>Ageing and sexing and ancestry</w:t>
            </w:r>
          </w:p>
        </w:tc>
      </w:tr>
      <w:tr w:rsidR="008E561F" w14:paraId="6744F1D4" w14:textId="77777777" w:rsidTr="008E561F">
        <w:tc>
          <w:tcPr>
            <w:tcW w:w="252" w:type="pct"/>
          </w:tcPr>
          <w:p w14:paraId="0A240A9B" w14:textId="77777777" w:rsidR="008E561F" w:rsidRDefault="008E561F" w:rsidP="00D808AB">
            <w:pPr>
              <w:pStyle w:val="BodyText"/>
              <w:jc w:val="left"/>
              <w:rPr>
                <w:rFonts w:ascii="Palatino" w:hAnsi="Palatino"/>
                <w:sz w:val="22"/>
                <w:szCs w:val="22"/>
              </w:rPr>
            </w:pPr>
          </w:p>
        </w:tc>
        <w:tc>
          <w:tcPr>
            <w:tcW w:w="426" w:type="pct"/>
          </w:tcPr>
          <w:p w14:paraId="2A52CC7D" w14:textId="7CC0C3CA" w:rsidR="008E561F" w:rsidRDefault="008E561F" w:rsidP="00D808AB">
            <w:pPr>
              <w:pStyle w:val="BodyText"/>
              <w:jc w:val="left"/>
              <w:rPr>
                <w:rFonts w:ascii="Palatino" w:hAnsi="Palatino"/>
                <w:sz w:val="22"/>
                <w:szCs w:val="22"/>
              </w:rPr>
            </w:pPr>
          </w:p>
        </w:tc>
        <w:tc>
          <w:tcPr>
            <w:tcW w:w="1747" w:type="pct"/>
          </w:tcPr>
          <w:p w14:paraId="457BAB54" w14:textId="68FB67A5" w:rsidR="008E561F" w:rsidRDefault="008E561F" w:rsidP="00D808AB">
            <w:pPr>
              <w:pStyle w:val="BodyText"/>
              <w:jc w:val="left"/>
              <w:rPr>
                <w:rFonts w:ascii="Palatino" w:hAnsi="Palatino"/>
                <w:sz w:val="22"/>
                <w:szCs w:val="22"/>
              </w:rPr>
            </w:pPr>
            <w:r>
              <w:rPr>
                <w:rFonts w:ascii="Palatino" w:hAnsi="Palatino"/>
                <w:sz w:val="22"/>
                <w:szCs w:val="22"/>
              </w:rPr>
              <w:t>MID SEMESTER PERIOD</w:t>
            </w:r>
          </w:p>
        </w:tc>
        <w:tc>
          <w:tcPr>
            <w:tcW w:w="1407" w:type="pct"/>
          </w:tcPr>
          <w:p w14:paraId="3468A024" w14:textId="77777777" w:rsidR="008E561F" w:rsidRPr="0050509F" w:rsidRDefault="008E561F" w:rsidP="00D808AB">
            <w:pPr>
              <w:rPr>
                <w:rStyle w:val="titlepart"/>
                <w:rFonts w:ascii="Times New Roman" w:hAnsi="Times New Roman" w:cs="Times New Roman"/>
                <w:bCs/>
                <w:color w:val="002147"/>
                <w:sz w:val="20"/>
                <w:szCs w:val="20"/>
              </w:rPr>
            </w:pPr>
          </w:p>
        </w:tc>
        <w:tc>
          <w:tcPr>
            <w:tcW w:w="1168" w:type="pct"/>
          </w:tcPr>
          <w:p w14:paraId="2CD44AC3" w14:textId="7D6AC391" w:rsidR="008E561F" w:rsidRDefault="008E561F" w:rsidP="00D808AB">
            <w:pPr>
              <w:pStyle w:val="BodyText"/>
              <w:jc w:val="left"/>
              <w:rPr>
                <w:rFonts w:ascii="Palatino" w:hAnsi="Palatino"/>
                <w:sz w:val="22"/>
                <w:szCs w:val="22"/>
              </w:rPr>
            </w:pPr>
            <w:r>
              <w:rPr>
                <w:rFonts w:ascii="Palatino" w:hAnsi="Palatino"/>
                <w:sz w:val="22"/>
                <w:szCs w:val="22"/>
              </w:rPr>
              <w:t>CATCH UP ON READINGS AND STUDYFOR TEST</w:t>
            </w:r>
          </w:p>
        </w:tc>
      </w:tr>
      <w:tr w:rsidR="008E561F" w14:paraId="7602262B" w14:textId="77777777" w:rsidTr="008E561F">
        <w:tc>
          <w:tcPr>
            <w:tcW w:w="252" w:type="pct"/>
          </w:tcPr>
          <w:p w14:paraId="553356C2" w14:textId="186C4709" w:rsidR="008E561F" w:rsidRDefault="008E561F" w:rsidP="00D808AB">
            <w:pPr>
              <w:pStyle w:val="BodyText"/>
              <w:jc w:val="left"/>
              <w:rPr>
                <w:rFonts w:ascii="Palatino" w:hAnsi="Palatino"/>
                <w:sz w:val="22"/>
                <w:szCs w:val="22"/>
              </w:rPr>
            </w:pPr>
            <w:r>
              <w:rPr>
                <w:rFonts w:ascii="Palatino" w:hAnsi="Palatino"/>
                <w:sz w:val="22"/>
                <w:szCs w:val="22"/>
              </w:rPr>
              <w:t>7</w:t>
            </w:r>
          </w:p>
        </w:tc>
        <w:tc>
          <w:tcPr>
            <w:tcW w:w="426" w:type="pct"/>
          </w:tcPr>
          <w:p w14:paraId="5AEE7437" w14:textId="23B79747" w:rsidR="008E561F" w:rsidRDefault="008E561F" w:rsidP="00D808AB">
            <w:pPr>
              <w:pStyle w:val="BodyText"/>
              <w:jc w:val="left"/>
              <w:rPr>
                <w:rFonts w:ascii="Palatino" w:hAnsi="Palatino"/>
                <w:sz w:val="22"/>
                <w:szCs w:val="22"/>
              </w:rPr>
            </w:pPr>
            <w:r>
              <w:rPr>
                <w:rFonts w:ascii="Palatino" w:hAnsi="Palatino"/>
                <w:sz w:val="22"/>
                <w:szCs w:val="22"/>
              </w:rPr>
              <w:t>12/9</w:t>
            </w:r>
          </w:p>
        </w:tc>
        <w:tc>
          <w:tcPr>
            <w:tcW w:w="1747" w:type="pct"/>
          </w:tcPr>
          <w:p w14:paraId="29AFD248" w14:textId="3BDE51A1" w:rsidR="008E561F" w:rsidRDefault="008E561F" w:rsidP="00D808AB">
            <w:pPr>
              <w:pStyle w:val="BodyText"/>
              <w:jc w:val="left"/>
              <w:rPr>
                <w:rFonts w:ascii="Palatino" w:hAnsi="Palatino"/>
                <w:sz w:val="22"/>
                <w:szCs w:val="22"/>
              </w:rPr>
            </w:pPr>
            <w:bookmarkStart w:id="0" w:name="_GoBack"/>
            <w:r>
              <w:rPr>
                <w:rFonts w:ascii="Palatino" w:hAnsi="Palatino"/>
                <w:sz w:val="22"/>
                <w:szCs w:val="22"/>
              </w:rPr>
              <w:t>Exploiting the environment – movement and diet</w:t>
            </w:r>
          </w:p>
          <w:bookmarkEnd w:id="0"/>
          <w:p w14:paraId="21FAD64C" w14:textId="5922D618" w:rsidR="008E561F" w:rsidRDefault="008E561F" w:rsidP="00D808AB">
            <w:pPr>
              <w:pStyle w:val="BodyText"/>
              <w:jc w:val="left"/>
              <w:rPr>
                <w:rFonts w:ascii="Palatino" w:hAnsi="Palatino"/>
                <w:sz w:val="22"/>
                <w:szCs w:val="22"/>
              </w:rPr>
            </w:pPr>
            <w:r w:rsidRPr="00CB2512">
              <w:rPr>
                <w:rFonts w:ascii="Palatino" w:hAnsi="Palatino"/>
                <w:i/>
                <w:sz w:val="22"/>
                <w:szCs w:val="22"/>
              </w:rPr>
              <w:t xml:space="preserve">Stable isotope analysis, </w:t>
            </w:r>
            <w:proofErr w:type="spellStart"/>
            <w:r w:rsidRPr="00CB2512">
              <w:rPr>
                <w:rFonts w:ascii="Palatino" w:hAnsi="Palatino"/>
                <w:i/>
                <w:sz w:val="22"/>
                <w:szCs w:val="22"/>
              </w:rPr>
              <w:t>aDNA</w:t>
            </w:r>
            <w:proofErr w:type="spellEnd"/>
            <w:r w:rsidRPr="00CB2512">
              <w:rPr>
                <w:rFonts w:ascii="Palatino" w:hAnsi="Palatino"/>
                <w:i/>
                <w:sz w:val="22"/>
                <w:szCs w:val="22"/>
              </w:rPr>
              <w:t>, mobility versus migration, diet versus nutrition versus subsistence</w:t>
            </w:r>
          </w:p>
        </w:tc>
        <w:tc>
          <w:tcPr>
            <w:tcW w:w="1407" w:type="pct"/>
          </w:tcPr>
          <w:p w14:paraId="0EF6957C" w14:textId="16D6F9F5" w:rsidR="008E561F" w:rsidRPr="0050509F" w:rsidRDefault="008E561F" w:rsidP="00D808AB">
            <w:pPr>
              <w:rPr>
                <w:rFonts w:ascii="Times New Roman" w:hAnsi="Times New Roman" w:cs="Times New Roman"/>
                <w:bCs/>
                <w:color w:val="002147"/>
                <w:sz w:val="20"/>
                <w:szCs w:val="20"/>
                <w:lang w:eastAsia="en-NZ"/>
              </w:rPr>
            </w:pPr>
            <w:proofErr w:type="spellStart"/>
            <w:r w:rsidRPr="0050509F">
              <w:rPr>
                <w:rStyle w:val="titlepart"/>
                <w:rFonts w:ascii="Times New Roman" w:hAnsi="Times New Roman" w:cs="Times New Roman"/>
                <w:bCs/>
                <w:color w:val="002147"/>
                <w:sz w:val="20"/>
                <w:szCs w:val="20"/>
              </w:rPr>
              <w:t>Bramanti</w:t>
            </w:r>
            <w:proofErr w:type="spellEnd"/>
            <w:r w:rsidRPr="0050509F">
              <w:rPr>
                <w:rStyle w:val="titlepart"/>
                <w:rFonts w:ascii="Times New Roman" w:hAnsi="Times New Roman" w:cs="Times New Roman"/>
                <w:bCs/>
                <w:color w:val="002147"/>
                <w:sz w:val="20"/>
                <w:szCs w:val="20"/>
              </w:rPr>
              <w:t xml:space="preserve">, B </w:t>
            </w:r>
            <w:r w:rsidRPr="0050509F">
              <w:rPr>
                <w:rStyle w:val="titlepart"/>
                <w:rFonts w:ascii="Times New Roman" w:hAnsi="Times New Roman" w:cs="Times New Roman"/>
                <w:bCs/>
                <w:color w:val="002147"/>
                <w:sz w:val="20"/>
                <w:szCs w:val="20"/>
              </w:rPr>
              <w:t>The Use of DNA Analysis in the Archaeology of Death and Burial </w:t>
            </w:r>
            <w:r w:rsidRPr="0050509F">
              <w:rPr>
                <w:rStyle w:val="availabilityicon"/>
                <w:rFonts w:ascii="Times New Roman" w:hAnsi="Times New Roman" w:cs="Times New Roman"/>
                <w:bCs/>
                <w:color w:val="002147"/>
                <w:sz w:val="20"/>
                <w:szCs w:val="20"/>
              </w:rPr>
              <w:t> </w:t>
            </w:r>
          </w:p>
          <w:p w14:paraId="6304DADB" w14:textId="15E91A2D" w:rsidR="008E561F" w:rsidRPr="0050509F" w:rsidRDefault="008E561F" w:rsidP="00DD606D">
            <w:pPr>
              <w:rPr>
                <w:rFonts w:ascii="Times New Roman" w:hAnsi="Times New Roman" w:cs="Times New Roman"/>
                <w:iCs/>
                <w:color w:val="4B4D4F"/>
                <w:sz w:val="20"/>
                <w:szCs w:val="20"/>
              </w:rPr>
            </w:pPr>
            <w:hyperlink r:id="rId15" w:history="1">
              <w:r w:rsidRPr="0050509F">
                <w:rPr>
                  <w:rStyle w:val="Hyperlink"/>
                  <w:rFonts w:ascii="Times New Roman" w:hAnsi="Times New Roman" w:cs="Times New Roman"/>
                  <w:i/>
                  <w:color w:val="auto"/>
                  <w:sz w:val="20"/>
                  <w:szCs w:val="20"/>
                  <w:u w:val="none"/>
                </w:rPr>
                <w:t>The Oxford Handbook of the Archaeology of Death and Burial</w:t>
              </w:r>
            </w:hyperlink>
            <w:r w:rsidRPr="0050509F">
              <w:rPr>
                <w:rStyle w:val="Hyperlink"/>
                <w:rFonts w:ascii="Times New Roman" w:hAnsi="Times New Roman" w:cs="Times New Roman"/>
                <w:i/>
                <w:color w:val="auto"/>
                <w:sz w:val="20"/>
                <w:szCs w:val="20"/>
                <w:u w:val="none"/>
              </w:rPr>
              <w:t xml:space="preserve"> </w:t>
            </w:r>
            <w:r w:rsidRPr="0050509F">
              <w:rPr>
                <w:rFonts w:ascii="Times New Roman" w:hAnsi="Times New Roman" w:cs="Times New Roman"/>
                <w:iCs/>
                <w:color w:val="4B4D4F"/>
                <w:sz w:val="20"/>
                <w:szCs w:val="20"/>
              </w:rPr>
              <w:t xml:space="preserve">Edited by Liv Nilsson Stutz and Sarah </w:t>
            </w:r>
            <w:proofErr w:type="spellStart"/>
            <w:r w:rsidRPr="0050509F">
              <w:rPr>
                <w:rFonts w:ascii="Times New Roman" w:hAnsi="Times New Roman" w:cs="Times New Roman"/>
                <w:iCs/>
                <w:color w:val="4B4D4F"/>
                <w:sz w:val="20"/>
                <w:szCs w:val="20"/>
              </w:rPr>
              <w:t>Tarlow</w:t>
            </w:r>
            <w:proofErr w:type="spellEnd"/>
            <w:r w:rsidR="0050509F" w:rsidRPr="0050509F">
              <w:rPr>
                <w:rFonts w:ascii="Times New Roman" w:hAnsi="Times New Roman" w:cs="Times New Roman"/>
                <w:iCs/>
                <w:color w:val="4B4D4F"/>
                <w:sz w:val="20"/>
                <w:szCs w:val="20"/>
              </w:rPr>
              <w:t xml:space="preserve"> p.99-122.</w:t>
            </w:r>
          </w:p>
          <w:p w14:paraId="663AD239" w14:textId="77777777" w:rsidR="008E561F" w:rsidRPr="0050509F" w:rsidRDefault="008E561F" w:rsidP="00DD606D">
            <w:pPr>
              <w:rPr>
                <w:rFonts w:ascii="Times New Roman" w:hAnsi="Times New Roman" w:cs="Times New Roman"/>
                <w:bCs/>
                <w:iCs/>
                <w:color w:val="4B4D4F"/>
                <w:sz w:val="20"/>
                <w:szCs w:val="20"/>
              </w:rPr>
            </w:pPr>
          </w:p>
          <w:p w14:paraId="4C4CF0BB" w14:textId="77777777" w:rsidR="008E561F" w:rsidRPr="0050509F" w:rsidRDefault="008E561F" w:rsidP="00D808AB">
            <w:pPr>
              <w:pStyle w:val="Heading2"/>
              <w:spacing w:before="0" w:after="240"/>
              <w:outlineLvl w:val="1"/>
              <w:rPr>
                <w:rFonts w:ascii="Times New Roman" w:hAnsi="Times New Roman" w:cs="Times New Roman"/>
                <w:bCs/>
                <w:i/>
                <w:iCs/>
                <w:color w:val="4B4D4F"/>
                <w:sz w:val="20"/>
                <w:szCs w:val="20"/>
              </w:rPr>
            </w:pPr>
            <w:r w:rsidRPr="0050509F">
              <w:rPr>
                <w:rFonts w:ascii="Times New Roman" w:hAnsi="Times New Roman" w:cs="Times New Roman"/>
                <w:color w:val="222222"/>
                <w:sz w:val="20"/>
                <w:szCs w:val="20"/>
                <w:shd w:val="clear" w:color="auto" w:fill="FFFFFF"/>
              </w:rPr>
              <w:t xml:space="preserve">Wilson, A. S., Taylor, T., </w:t>
            </w:r>
            <w:proofErr w:type="spellStart"/>
            <w:r w:rsidRPr="0050509F">
              <w:rPr>
                <w:rFonts w:ascii="Times New Roman" w:hAnsi="Times New Roman" w:cs="Times New Roman"/>
                <w:color w:val="222222"/>
                <w:sz w:val="20"/>
                <w:szCs w:val="20"/>
                <w:shd w:val="clear" w:color="auto" w:fill="FFFFFF"/>
              </w:rPr>
              <w:t>Ceruti</w:t>
            </w:r>
            <w:proofErr w:type="spellEnd"/>
            <w:r w:rsidRPr="0050509F">
              <w:rPr>
                <w:rFonts w:ascii="Times New Roman" w:hAnsi="Times New Roman" w:cs="Times New Roman"/>
                <w:color w:val="222222"/>
                <w:sz w:val="20"/>
                <w:szCs w:val="20"/>
                <w:shd w:val="clear" w:color="auto" w:fill="FFFFFF"/>
              </w:rPr>
              <w:t xml:space="preserve">, M. C., Chavez, J. A., </w:t>
            </w:r>
            <w:proofErr w:type="spellStart"/>
            <w:r w:rsidRPr="0050509F">
              <w:rPr>
                <w:rFonts w:ascii="Times New Roman" w:hAnsi="Times New Roman" w:cs="Times New Roman"/>
                <w:color w:val="222222"/>
                <w:sz w:val="20"/>
                <w:szCs w:val="20"/>
                <w:shd w:val="clear" w:color="auto" w:fill="FFFFFF"/>
              </w:rPr>
              <w:t>Reinhard</w:t>
            </w:r>
            <w:proofErr w:type="spellEnd"/>
            <w:r w:rsidRPr="0050509F">
              <w:rPr>
                <w:rFonts w:ascii="Times New Roman" w:hAnsi="Times New Roman" w:cs="Times New Roman"/>
                <w:color w:val="222222"/>
                <w:sz w:val="20"/>
                <w:szCs w:val="20"/>
                <w:shd w:val="clear" w:color="auto" w:fill="FFFFFF"/>
              </w:rPr>
              <w:t>, J., Grimes, V</w:t>
            </w:r>
            <w:proofErr w:type="gramStart"/>
            <w:r w:rsidRPr="0050509F">
              <w:rPr>
                <w:rFonts w:ascii="Times New Roman" w:hAnsi="Times New Roman" w:cs="Times New Roman"/>
                <w:color w:val="222222"/>
                <w:sz w:val="20"/>
                <w:szCs w:val="20"/>
                <w:shd w:val="clear" w:color="auto" w:fill="FFFFFF"/>
              </w:rPr>
              <w:t>., ...</w:t>
            </w:r>
            <w:proofErr w:type="gramEnd"/>
            <w:r w:rsidRPr="0050509F">
              <w:rPr>
                <w:rFonts w:ascii="Times New Roman" w:hAnsi="Times New Roman" w:cs="Times New Roman"/>
                <w:color w:val="222222"/>
                <w:sz w:val="20"/>
                <w:szCs w:val="20"/>
                <w:shd w:val="clear" w:color="auto" w:fill="FFFFFF"/>
              </w:rPr>
              <w:t xml:space="preserve"> &amp; </w:t>
            </w:r>
            <w:proofErr w:type="spellStart"/>
            <w:r w:rsidRPr="0050509F">
              <w:rPr>
                <w:rFonts w:ascii="Times New Roman" w:hAnsi="Times New Roman" w:cs="Times New Roman"/>
                <w:color w:val="222222"/>
                <w:sz w:val="20"/>
                <w:szCs w:val="20"/>
                <w:shd w:val="clear" w:color="auto" w:fill="FFFFFF"/>
              </w:rPr>
              <w:t>Worobey</w:t>
            </w:r>
            <w:proofErr w:type="spellEnd"/>
            <w:r w:rsidRPr="0050509F">
              <w:rPr>
                <w:rFonts w:ascii="Times New Roman" w:hAnsi="Times New Roman" w:cs="Times New Roman"/>
                <w:color w:val="222222"/>
                <w:sz w:val="20"/>
                <w:szCs w:val="20"/>
                <w:shd w:val="clear" w:color="auto" w:fill="FFFFFF"/>
              </w:rPr>
              <w:t>, M. (2007). Stable isotope and DNA evidence for ritual sequences in Inca child sacrifice. </w:t>
            </w:r>
            <w:r w:rsidRPr="0050509F">
              <w:rPr>
                <w:rFonts w:ascii="Times New Roman" w:hAnsi="Times New Roman" w:cs="Times New Roman"/>
                <w:i/>
                <w:iCs/>
                <w:color w:val="222222"/>
                <w:sz w:val="20"/>
                <w:szCs w:val="20"/>
                <w:shd w:val="clear" w:color="auto" w:fill="FFFFFF"/>
              </w:rPr>
              <w:t>Proceedings of the National Academy of Sciences</w:t>
            </w:r>
            <w:r w:rsidRPr="0050509F">
              <w:rPr>
                <w:rFonts w:ascii="Times New Roman" w:hAnsi="Times New Roman" w:cs="Times New Roman"/>
                <w:color w:val="222222"/>
                <w:sz w:val="20"/>
                <w:szCs w:val="20"/>
                <w:shd w:val="clear" w:color="auto" w:fill="FFFFFF"/>
              </w:rPr>
              <w:t>, </w:t>
            </w:r>
            <w:r w:rsidRPr="0050509F">
              <w:rPr>
                <w:rFonts w:ascii="Times New Roman" w:hAnsi="Times New Roman" w:cs="Times New Roman"/>
                <w:i/>
                <w:iCs/>
                <w:color w:val="222222"/>
                <w:sz w:val="20"/>
                <w:szCs w:val="20"/>
                <w:shd w:val="clear" w:color="auto" w:fill="FFFFFF"/>
              </w:rPr>
              <w:t>104</w:t>
            </w:r>
            <w:r w:rsidRPr="0050509F">
              <w:rPr>
                <w:rFonts w:ascii="Times New Roman" w:hAnsi="Times New Roman" w:cs="Times New Roman"/>
                <w:color w:val="222222"/>
                <w:sz w:val="20"/>
                <w:szCs w:val="20"/>
                <w:shd w:val="clear" w:color="auto" w:fill="FFFFFF"/>
              </w:rPr>
              <w:t>(42), 16456-16461.</w:t>
            </w:r>
          </w:p>
          <w:p w14:paraId="3EBC025C" w14:textId="77777777" w:rsidR="008E561F" w:rsidRPr="0050509F" w:rsidRDefault="008E561F" w:rsidP="00D808AB">
            <w:pPr>
              <w:rPr>
                <w:rFonts w:ascii="Times New Roman" w:eastAsia="Calibri" w:hAnsi="Times New Roman" w:cs="Times New Roman"/>
                <w:i/>
                <w:sz w:val="20"/>
                <w:szCs w:val="20"/>
                <w:lang w:eastAsia="en-NZ"/>
              </w:rPr>
            </w:pPr>
            <w:proofErr w:type="spellStart"/>
            <w:r w:rsidRPr="0050509F">
              <w:rPr>
                <w:rFonts w:ascii="Times New Roman" w:hAnsi="Times New Roman" w:cs="Times New Roman"/>
                <w:i/>
                <w:color w:val="000000"/>
                <w:sz w:val="20"/>
                <w:szCs w:val="20"/>
              </w:rPr>
              <w:t>Kinaston</w:t>
            </w:r>
            <w:proofErr w:type="spellEnd"/>
            <w:r w:rsidRPr="0050509F">
              <w:rPr>
                <w:rFonts w:ascii="Times New Roman" w:hAnsi="Times New Roman" w:cs="Times New Roman"/>
                <w:i/>
                <w:color w:val="000000"/>
                <w:sz w:val="20"/>
                <w:szCs w:val="20"/>
              </w:rPr>
              <w:t xml:space="preserve"> R et al. 2013 The First New Zealanders: Patterns of Diet and Mobility Revealed through Isotope Analysis </w:t>
            </w:r>
            <w:proofErr w:type="spellStart"/>
            <w:r w:rsidRPr="0050509F">
              <w:rPr>
                <w:rFonts w:ascii="Times New Roman" w:hAnsi="Times New Roman" w:cs="Times New Roman"/>
                <w:i/>
                <w:color w:val="000000"/>
                <w:sz w:val="20"/>
                <w:szCs w:val="20"/>
              </w:rPr>
              <w:t>PLOSOne</w:t>
            </w:r>
            <w:proofErr w:type="spellEnd"/>
            <w:r w:rsidRPr="0050509F">
              <w:rPr>
                <w:rFonts w:ascii="Times New Roman" w:hAnsi="Times New Roman" w:cs="Times New Roman"/>
                <w:i/>
                <w:color w:val="000000"/>
                <w:sz w:val="20"/>
                <w:szCs w:val="20"/>
              </w:rPr>
              <w:t xml:space="preserve"> </w:t>
            </w:r>
            <w:r w:rsidRPr="0050509F">
              <w:rPr>
                <w:rFonts w:ascii="Times New Roman" w:hAnsi="Times New Roman" w:cs="Times New Roman"/>
                <w:bCs/>
                <w:i/>
                <w:color w:val="000000"/>
                <w:sz w:val="20"/>
                <w:szCs w:val="20"/>
              </w:rPr>
              <w:t xml:space="preserve">:8 iss:5 pg:e64580 </w:t>
            </w:r>
            <w:r w:rsidRPr="0050509F">
              <w:rPr>
                <w:rFonts w:ascii="Times New Roman" w:eastAsia="Calibri" w:hAnsi="Times New Roman" w:cs="Times New Roman"/>
                <w:i/>
                <w:sz w:val="20"/>
                <w:szCs w:val="20"/>
                <w:lang w:eastAsia="en-NZ"/>
              </w:rPr>
              <w:t>doi:10.1371/journal.pone.0064580</w:t>
            </w:r>
          </w:p>
          <w:p w14:paraId="4DB367C0" w14:textId="77777777" w:rsidR="008E561F" w:rsidRPr="0050509F" w:rsidRDefault="008E561F" w:rsidP="00D808AB">
            <w:pPr>
              <w:pStyle w:val="BodyText"/>
              <w:jc w:val="left"/>
              <w:rPr>
                <w:b w:val="0"/>
                <w:sz w:val="20"/>
              </w:rPr>
            </w:pPr>
          </w:p>
        </w:tc>
        <w:tc>
          <w:tcPr>
            <w:tcW w:w="1168" w:type="pct"/>
          </w:tcPr>
          <w:p w14:paraId="76A012E7" w14:textId="77777777" w:rsidR="008E561F" w:rsidRDefault="008E561F" w:rsidP="00D808AB">
            <w:pPr>
              <w:pStyle w:val="BodyText"/>
              <w:jc w:val="left"/>
              <w:rPr>
                <w:rFonts w:ascii="Palatino" w:hAnsi="Palatino"/>
                <w:sz w:val="22"/>
                <w:szCs w:val="22"/>
              </w:rPr>
            </w:pPr>
            <w:r>
              <w:rPr>
                <w:rFonts w:ascii="Palatino" w:hAnsi="Palatino"/>
                <w:sz w:val="22"/>
                <w:szCs w:val="22"/>
              </w:rPr>
              <w:t>Human identification 2</w:t>
            </w:r>
            <w:r>
              <w:rPr>
                <w:rFonts w:ascii="Palatino" w:hAnsi="Palatino"/>
                <w:sz w:val="22"/>
                <w:szCs w:val="22"/>
              </w:rPr>
              <w:br/>
              <w:t>Stature and Pathology</w:t>
            </w:r>
          </w:p>
        </w:tc>
      </w:tr>
      <w:tr w:rsidR="008E561F" w14:paraId="4DAB9967" w14:textId="77777777" w:rsidTr="008E561F">
        <w:tc>
          <w:tcPr>
            <w:tcW w:w="252" w:type="pct"/>
          </w:tcPr>
          <w:p w14:paraId="299266CE" w14:textId="0CEDEC34" w:rsidR="008E561F" w:rsidRDefault="008E561F" w:rsidP="00D808AB">
            <w:pPr>
              <w:pStyle w:val="BodyText"/>
              <w:jc w:val="left"/>
              <w:rPr>
                <w:rFonts w:ascii="Palatino" w:hAnsi="Palatino"/>
                <w:sz w:val="22"/>
                <w:szCs w:val="22"/>
              </w:rPr>
            </w:pPr>
            <w:r>
              <w:rPr>
                <w:rFonts w:ascii="Palatino" w:hAnsi="Palatino"/>
                <w:sz w:val="22"/>
                <w:szCs w:val="22"/>
              </w:rPr>
              <w:t>8</w:t>
            </w:r>
          </w:p>
        </w:tc>
        <w:tc>
          <w:tcPr>
            <w:tcW w:w="426" w:type="pct"/>
          </w:tcPr>
          <w:p w14:paraId="1047D706" w14:textId="2D9433C2" w:rsidR="008E561F" w:rsidRDefault="008E561F" w:rsidP="00D808AB">
            <w:pPr>
              <w:pStyle w:val="BodyText"/>
              <w:jc w:val="left"/>
              <w:rPr>
                <w:rFonts w:ascii="Palatino" w:hAnsi="Palatino"/>
                <w:sz w:val="22"/>
                <w:szCs w:val="22"/>
              </w:rPr>
            </w:pPr>
            <w:r>
              <w:rPr>
                <w:rFonts w:ascii="Palatino" w:hAnsi="Palatino"/>
                <w:sz w:val="22"/>
                <w:szCs w:val="22"/>
              </w:rPr>
              <w:t>19/9</w:t>
            </w:r>
          </w:p>
        </w:tc>
        <w:tc>
          <w:tcPr>
            <w:tcW w:w="1747" w:type="pct"/>
          </w:tcPr>
          <w:p w14:paraId="5EE028E6" w14:textId="08ED3CF2" w:rsidR="008E561F" w:rsidRDefault="008E561F" w:rsidP="00D808AB">
            <w:pPr>
              <w:pStyle w:val="BodyText"/>
              <w:jc w:val="left"/>
              <w:rPr>
                <w:rFonts w:ascii="Palatino" w:hAnsi="Palatino"/>
                <w:sz w:val="22"/>
                <w:szCs w:val="22"/>
              </w:rPr>
            </w:pPr>
            <w:r>
              <w:rPr>
                <w:rFonts w:ascii="Palatino" w:hAnsi="Palatino"/>
                <w:sz w:val="22"/>
                <w:szCs w:val="22"/>
              </w:rPr>
              <w:t>Disease, disability and inequality</w:t>
            </w:r>
          </w:p>
          <w:p w14:paraId="4B7F425F" w14:textId="588DD62C" w:rsidR="008E561F" w:rsidRDefault="008E561F" w:rsidP="00D808AB">
            <w:pPr>
              <w:pStyle w:val="BodyText"/>
              <w:jc w:val="left"/>
              <w:rPr>
                <w:rFonts w:ascii="Palatino" w:hAnsi="Palatino"/>
                <w:sz w:val="22"/>
                <w:szCs w:val="22"/>
              </w:rPr>
            </w:pPr>
            <w:proofErr w:type="spellStart"/>
            <w:r w:rsidRPr="00CB2512">
              <w:rPr>
                <w:rFonts w:ascii="Palatino" w:hAnsi="Palatino"/>
                <w:i/>
                <w:sz w:val="22"/>
                <w:szCs w:val="22"/>
              </w:rPr>
              <w:t>Palaeopathology</w:t>
            </w:r>
            <w:proofErr w:type="spellEnd"/>
            <w:r w:rsidRPr="00CB2512">
              <w:rPr>
                <w:rFonts w:ascii="Palatino" w:hAnsi="Palatino"/>
                <w:i/>
                <w:sz w:val="22"/>
                <w:szCs w:val="22"/>
              </w:rPr>
              <w:t xml:space="preserve"> possibilities and problems, disability?, care</w:t>
            </w:r>
          </w:p>
        </w:tc>
        <w:tc>
          <w:tcPr>
            <w:tcW w:w="1407" w:type="pct"/>
          </w:tcPr>
          <w:p w14:paraId="71A660B1" w14:textId="77777777" w:rsidR="008E561F" w:rsidRPr="0050509F" w:rsidRDefault="008E561F" w:rsidP="00D808AB">
            <w:pPr>
              <w:pStyle w:val="BodyText"/>
              <w:jc w:val="left"/>
              <w:rPr>
                <w:b w:val="0"/>
                <w:sz w:val="20"/>
              </w:rPr>
            </w:pPr>
            <w:proofErr w:type="spellStart"/>
            <w:r w:rsidRPr="0050509F">
              <w:rPr>
                <w:b w:val="0"/>
                <w:sz w:val="20"/>
              </w:rPr>
              <w:t>Dettwyler</w:t>
            </w:r>
            <w:proofErr w:type="spellEnd"/>
            <w:r w:rsidRPr="0050509F">
              <w:rPr>
                <w:b w:val="0"/>
                <w:sz w:val="20"/>
              </w:rPr>
              <w:t xml:space="preserve">, K 1991 Can paleopathology provide evidence for Compassion? Am J Phys </w:t>
            </w:r>
            <w:proofErr w:type="spellStart"/>
            <w:r w:rsidRPr="0050509F">
              <w:rPr>
                <w:b w:val="0"/>
                <w:sz w:val="20"/>
              </w:rPr>
              <w:t>Anth</w:t>
            </w:r>
            <w:proofErr w:type="spellEnd"/>
            <w:r w:rsidRPr="0050509F">
              <w:rPr>
                <w:b w:val="0"/>
                <w:sz w:val="20"/>
              </w:rPr>
              <w:t xml:space="preserve"> 84(4):375-84</w:t>
            </w:r>
          </w:p>
          <w:p w14:paraId="799FB37D" w14:textId="77777777" w:rsidR="008E561F" w:rsidRPr="0050509F" w:rsidRDefault="008E561F" w:rsidP="00D808AB">
            <w:pPr>
              <w:pStyle w:val="BodyText"/>
              <w:jc w:val="left"/>
              <w:rPr>
                <w:b w:val="0"/>
                <w:color w:val="222222"/>
                <w:sz w:val="20"/>
                <w:shd w:val="clear" w:color="auto" w:fill="FFFFFF"/>
              </w:rPr>
            </w:pPr>
          </w:p>
          <w:p w14:paraId="7EB5B9FE" w14:textId="77777777" w:rsidR="008E561F" w:rsidRPr="0050509F" w:rsidRDefault="008E561F" w:rsidP="00D808AB">
            <w:pPr>
              <w:pStyle w:val="BodyText"/>
              <w:jc w:val="left"/>
              <w:rPr>
                <w:b w:val="0"/>
                <w:i/>
                <w:sz w:val="20"/>
              </w:rPr>
            </w:pPr>
            <w:r w:rsidRPr="0050509F">
              <w:rPr>
                <w:b w:val="0"/>
                <w:color w:val="222222"/>
                <w:sz w:val="20"/>
                <w:shd w:val="clear" w:color="auto" w:fill="FFFFFF"/>
              </w:rPr>
              <w:t>Tilley, L. (2012). The bioarchaeology of care. </w:t>
            </w:r>
            <w:r w:rsidRPr="0050509F">
              <w:rPr>
                <w:b w:val="0"/>
                <w:i/>
                <w:iCs/>
                <w:color w:val="222222"/>
                <w:sz w:val="20"/>
                <w:shd w:val="clear" w:color="auto" w:fill="FFFFFF"/>
              </w:rPr>
              <w:t>The SAA Archaeological Record</w:t>
            </w:r>
            <w:r w:rsidRPr="0050509F">
              <w:rPr>
                <w:b w:val="0"/>
                <w:color w:val="222222"/>
                <w:sz w:val="20"/>
                <w:shd w:val="clear" w:color="auto" w:fill="FFFFFF"/>
              </w:rPr>
              <w:t>, </w:t>
            </w:r>
            <w:r w:rsidRPr="0050509F">
              <w:rPr>
                <w:b w:val="0"/>
                <w:i/>
                <w:iCs/>
                <w:color w:val="222222"/>
                <w:sz w:val="20"/>
                <w:shd w:val="clear" w:color="auto" w:fill="FFFFFF"/>
              </w:rPr>
              <w:t>12</w:t>
            </w:r>
            <w:r w:rsidRPr="0050509F">
              <w:rPr>
                <w:b w:val="0"/>
                <w:color w:val="222222"/>
                <w:sz w:val="20"/>
                <w:shd w:val="clear" w:color="auto" w:fill="FFFFFF"/>
              </w:rPr>
              <w:t>(3), 39-41.</w:t>
            </w:r>
            <w:r w:rsidRPr="0050509F">
              <w:rPr>
                <w:b w:val="0"/>
                <w:sz w:val="20"/>
              </w:rPr>
              <w:br/>
            </w:r>
          </w:p>
          <w:p w14:paraId="16D86382" w14:textId="1CAD4195" w:rsidR="008E561F" w:rsidRPr="0050509F" w:rsidRDefault="008E561F" w:rsidP="00D808AB">
            <w:pPr>
              <w:pStyle w:val="BodyText"/>
              <w:jc w:val="left"/>
              <w:rPr>
                <w:b w:val="0"/>
                <w:sz w:val="20"/>
              </w:rPr>
            </w:pPr>
            <w:r w:rsidRPr="0050509F">
              <w:rPr>
                <w:b w:val="0"/>
                <w:i/>
                <w:sz w:val="20"/>
              </w:rPr>
              <w:t xml:space="preserve">Robbins </w:t>
            </w:r>
            <w:proofErr w:type="spellStart"/>
            <w:r w:rsidRPr="0050509F">
              <w:rPr>
                <w:b w:val="0"/>
                <w:i/>
                <w:sz w:val="20"/>
              </w:rPr>
              <w:t>Schug</w:t>
            </w:r>
            <w:proofErr w:type="spellEnd"/>
            <w:r w:rsidRPr="0050509F">
              <w:rPr>
                <w:b w:val="0"/>
                <w:i/>
                <w:sz w:val="20"/>
              </w:rPr>
              <w:t xml:space="preserve">, G 2016 Begotten of corruption? Bioarchaeology and the othering of leprosy in South Asia. </w:t>
            </w:r>
            <w:proofErr w:type="spellStart"/>
            <w:r w:rsidRPr="0050509F">
              <w:rPr>
                <w:b w:val="0"/>
                <w:i/>
                <w:sz w:val="20"/>
              </w:rPr>
              <w:t>Int</w:t>
            </w:r>
            <w:proofErr w:type="spellEnd"/>
            <w:r w:rsidRPr="0050509F">
              <w:rPr>
                <w:b w:val="0"/>
                <w:i/>
                <w:sz w:val="20"/>
              </w:rPr>
              <w:t xml:space="preserve"> J </w:t>
            </w:r>
            <w:proofErr w:type="spellStart"/>
            <w:r w:rsidRPr="0050509F">
              <w:rPr>
                <w:b w:val="0"/>
                <w:i/>
                <w:sz w:val="20"/>
              </w:rPr>
              <w:t>Paleopath</w:t>
            </w:r>
            <w:proofErr w:type="spellEnd"/>
            <w:r w:rsidRPr="0050509F">
              <w:rPr>
                <w:b w:val="0"/>
                <w:i/>
                <w:sz w:val="20"/>
              </w:rPr>
              <w:t xml:space="preserve"> 15:1-9</w:t>
            </w:r>
          </w:p>
        </w:tc>
        <w:tc>
          <w:tcPr>
            <w:tcW w:w="1168" w:type="pct"/>
          </w:tcPr>
          <w:p w14:paraId="4A3A2ABC" w14:textId="77777777" w:rsidR="008E561F" w:rsidRPr="0050509F" w:rsidRDefault="008E561F" w:rsidP="00D808AB">
            <w:pPr>
              <w:pStyle w:val="BodyText"/>
              <w:jc w:val="left"/>
              <w:rPr>
                <w:rFonts w:ascii="Palatino" w:hAnsi="Palatino"/>
                <w:color w:val="FF0000"/>
                <w:sz w:val="22"/>
                <w:szCs w:val="22"/>
              </w:rPr>
            </w:pPr>
            <w:r w:rsidRPr="0050509F">
              <w:rPr>
                <w:rFonts w:ascii="Palatino" w:hAnsi="Palatino"/>
                <w:color w:val="FF0000"/>
                <w:sz w:val="22"/>
                <w:szCs w:val="22"/>
              </w:rPr>
              <w:t>PRACTICAL TEST</w:t>
            </w:r>
          </w:p>
          <w:p w14:paraId="34865E04" w14:textId="77777777" w:rsidR="0050509F" w:rsidRPr="0050509F" w:rsidRDefault="0050509F" w:rsidP="00D808AB">
            <w:pPr>
              <w:pStyle w:val="BodyText"/>
              <w:jc w:val="left"/>
              <w:rPr>
                <w:rFonts w:ascii="Palatino" w:hAnsi="Palatino"/>
                <w:color w:val="FF0000"/>
                <w:sz w:val="22"/>
                <w:szCs w:val="22"/>
              </w:rPr>
            </w:pPr>
          </w:p>
          <w:p w14:paraId="066E39C9" w14:textId="7FF2CF6D" w:rsidR="0050509F" w:rsidRDefault="0050509F" w:rsidP="00D808AB">
            <w:pPr>
              <w:pStyle w:val="BodyText"/>
              <w:jc w:val="left"/>
              <w:rPr>
                <w:rFonts w:ascii="Palatino" w:hAnsi="Palatino"/>
                <w:sz w:val="22"/>
                <w:szCs w:val="22"/>
              </w:rPr>
            </w:pPr>
            <w:r w:rsidRPr="0050509F">
              <w:rPr>
                <w:rFonts w:ascii="Palatino" w:hAnsi="Palatino"/>
                <w:color w:val="FF0000"/>
                <w:sz w:val="22"/>
                <w:szCs w:val="22"/>
              </w:rPr>
              <w:t>In lab on 20 September.</w:t>
            </w:r>
          </w:p>
        </w:tc>
      </w:tr>
      <w:tr w:rsidR="008E561F" w14:paraId="42C08458" w14:textId="77777777" w:rsidTr="008E561F">
        <w:tc>
          <w:tcPr>
            <w:tcW w:w="252" w:type="pct"/>
          </w:tcPr>
          <w:p w14:paraId="4773D0BB" w14:textId="1E8B48C1" w:rsidR="008E561F" w:rsidRDefault="008E561F" w:rsidP="00D808AB">
            <w:pPr>
              <w:pStyle w:val="BodyText"/>
              <w:jc w:val="left"/>
              <w:rPr>
                <w:rFonts w:ascii="Palatino" w:hAnsi="Palatino"/>
                <w:sz w:val="22"/>
                <w:szCs w:val="22"/>
              </w:rPr>
            </w:pPr>
            <w:r>
              <w:rPr>
                <w:rFonts w:ascii="Palatino" w:hAnsi="Palatino"/>
                <w:sz w:val="22"/>
                <w:szCs w:val="22"/>
              </w:rPr>
              <w:t>9</w:t>
            </w:r>
          </w:p>
        </w:tc>
        <w:tc>
          <w:tcPr>
            <w:tcW w:w="426" w:type="pct"/>
          </w:tcPr>
          <w:p w14:paraId="311A29BF" w14:textId="707EB1B1" w:rsidR="008E561F" w:rsidRDefault="008E561F" w:rsidP="00D808AB">
            <w:pPr>
              <w:pStyle w:val="BodyText"/>
              <w:jc w:val="left"/>
              <w:rPr>
                <w:rFonts w:ascii="Palatino" w:hAnsi="Palatino"/>
                <w:sz w:val="22"/>
                <w:szCs w:val="22"/>
              </w:rPr>
            </w:pPr>
            <w:r>
              <w:rPr>
                <w:rFonts w:ascii="Palatino" w:hAnsi="Palatino"/>
                <w:sz w:val="22"/>
                <w:szCs w:val="22"/>
              </w:rPr>
              <w:t>26/9</w:t>
            </w:r>
          </w:p>
        </w:tc>
        <w:tc>
          <w:tcPr>
            <w:tcW w:w="1747" w:type="pct"/>
          </w:tcPr>
          <w:p w14:paraId="214A02A3" w14:textId="2F10C31E" w:rsidR="008E561F" w:rsidRDefault="008E561F" w:rsidP="00D808AB">
            <w:pPr>
              <w:pStyle w:val="BodyText"/>
              <w:jc w:val="left"/>
              <w:rPr>
                <w:rFonts w:ascii="Palatino" w:hAnsi="Palatino"/>
                <w:sz w:val="22"/>
                <w:szCs w:val="22"/>
              </w:rPr>
            </w:pPr>
            <w:r>
              <w:rPr>
                <w:rFonts w:ascii="Palatino" w:hAnsi="Palatino"/>
                <w:sz w:val="22"/>
                <w:szCs w:val="22"/>
              </w:rPr>
              <w:t>Was agriculture the worst idea?</w:t>
            </w:r>
          </w:p>
          <w:p w14:paraId="4B28E5E6" w14:textId="2F53FCEF" w:rsidR="008E561F" w:rsidRDefault="008E561F" w:rsidP="00D808AB">
            <w:pPr>
              <w:pStyle w:val="BodyText"/>
              <w:jc w:val="left"/>
              <w:rPr>
                <w:rFonts w:ascii="Palatino" w:hAnsi="Palatino"/>
                <w:sz w:val="22"/>
                <w:szCs w:val="22"/>
              </w:rPr>
            </w:pPr>
            <w:r w:rsidRPr="00CB2512">
              <w:rPr>
                <w:rFonts w:ascii="Palatino" w:hAnsi="Palatino"/>
                <w:i/>
                <w:sz w:val="22"/>
                <w:szCs w:val="22"/>
              </w:rPr>
              <w:t xml:space="preserve">Agricultural transitions, </w:t>
            </w:r>
            <w:proofErr w:type="spellStart"/>
            <w:r w:rsidRPr="00CB2512">
              <w:rPr>
                <w:rFonts w:ascii="Palatino" w:hAnsi="Palatino"/>
                <w:i/>
                <w:sz w:val="22"/>
                <w:szCs w:val="22"/>
              </w:rPr>
              <w:t>sedentism</w:t>
            </w:r>
            <w:proofErr w:type="spellEnd"/>
            <w:r w:rsidRPr="00CB2512">
              <w:rPr>
                <w:rFonts w:ascii="Palatino" w:hAnsi="Palatino"/>
                <w:i/>
                <w:sz w:val="22"/>
                <w:szCs w:val="22"/>
              </w:rPr>
              <w:t>, stress, health, coevolution</w:t>
            </w:r>
          </w:p>
        </w:tc>
        <w:tc>
          <w:tcPr>
            <w:tcW w:w="1407" w:type="pct"/>
          </w:tcPr>
          <w:p w14:paraId="3DB9B1CB" w14:textId="3134F65E" w:rsidR="008E561F" w:rsidRPr="0050509F" w:rsidRDefault="008E561F" w:rsidP="00D808AB">
            <w:pPr>
              <w:rPr>
                <w:rFonts w:ascii="Times New Roman" w:hAnsi="Times New Roman" w:cs="Times New Roman"/>
                <w:color w:val="222222"/>
                <w:sz w:val="20"/>
                <w:szCs w:val="20"/>
                <w:shd w:val="clear" w:color="auto" w:fill="FFFFFF"/>
              </w:rPr>
            </w:pPr>
            <w:r w:rsidRPr="0050509F">
              <w:rPr>
                <w:rFonts w:ascii="Times New Roman" w:hAnsi="Times New Roman" w:cs="Times New Roman"/>
                <w:color w:val="222222"/>
                <w:sz w:val="20"/>
                <w:szCs w:val="20"/>
                <w:shd w:val="clear" w:color="auto" w:fill="FFFFFF"/>
              </w:rPr>
              <w:t xml:space="preserve">Stock, J. T., &amp; </w:t>
            </w:r>
            <w:proofErr w:type="spellStart"/>
            <w:r w:rsidRPr="0050509F">
              <w:rPr>
                <w:rFonts w:ascii="Times New Roman" w:hAnsi="Times New Roman" w:cs="Times New Roman"/>
                <w:color w:val="222222"/>
                <w:sz w:val="20"/>
                <w:szCs w:val="20"/>
                <w:shd w:val="clear" w:color="auto" w:fill="FFFFFF"/>
              </w:rPr>
              <w:t>Pinhasi</w:t>
            </w:r>
            <w:proofErr w:type="spellEnd"/>
            <w:r w:rsidRPr="0050509F">
              <w:rPr>
                <w:rFonts w:ascii="Times New Roman" w:hAnsi="Times New Roman" w:cs="Times New Roman"/>
                <w:color w:val="222222"/>
                <w:sz w:val="20"/>
                <w:szCs w:val="20"/>
                <w:shd w:val="clear" w:color="auto" w:fill="FFFFFF"/>
              </w:rPr>
              <w:t xml:space="preserve">, R. (2011). Introduction: Changing Paradigms in Our Understanding of the Transition to Agriculture: Human Bioarchaeology, Behaviour and </w:t>
            </w:r>
            <w:proofErr w:type="spellStart"/>
            <w:r w:rsidRPr="0050509F">
              <w:rPr>
                <w:rFonts w:ascii="Times New Roman" w:hAnsi="Times New Roman" w:cs="Times New Roman"/>
                <w:color w:val="222222"/>
                <w:sz w:val="20"/>
                <w:szCs w:val="20"/>
                <w:shd w:val="clear" w:color="auto" w:fill="FFFFFF"/>
              </w:rPr>
              <w:t>Adaptaion</w:t>
            </w:r>
            <w:proofErr w:type="spellEnd"/>
            <w:r w:rsidRPr="0050509F">
              <w:rPr>
                <w:rFonts w:ascii="Times New Roman" w:hAnsi="Times New Roman" w:cs="Times New Roman"/>
                <w:color w:val="222222"/>
                <w:sz w:val="20"/>
                <w:szCs w:val="20"/>
                <w:shd w:val="clear" w:color="auto" w:fill="FFFFFF"/>
              </w:rPr>
              <w:t>. </w:t>
            </w:r>
            <w:r w:rsidRPr="0050509F">
              <w:rPr>
                <w:rFonts w:ascii="Times New Roman" w:hAnsi="Times New Roman" w:cs="Times New Roman"/>
                <w:i/>
                <w:iCs/>
                <w:color w:val="222222"/>
                <w:sz w:val="20"/>
                <w:szCs w:val="20"/>
                <w:shd w:val="clear" w:color="auto" w:fill="FFFFFF"/>
              </w:rPr>
              <w:t>Human Bioarchaeology of the Transition to Agriculture</w:t>
            </w:r>
            <w:r w:rsidRPr="0050509F">
              <w:rPr>
                <w:rFonts w:ascii="Times New Roman" w:hAnsi="Times New Roman" w:cs="Times New Roman"/>
                <w:color w:val="222222"/>
                <w:sz w:val="20"/>
                <w:szCs w:val="20"/>
                <w:shd w:val="clear" w:color="auto" w:fill="FFFFFF"/>
              </w:rPr>
              <w:t>, 1-13.</w:t>
            </w:r>
          </w:p>
          <w:p w14:paraId="546B17A5" w14:textId="77777777" w:rsidR="008E561F" w:rsidRPr="0050509F" w:rsidRDefault="008E561F" w:rsidP="00D808AB">
            <w:pPr>
              <w:rPr>
                <w:rFonts w:ascii="Times New Roman" w:hAnsi="Times New Roman" w:cs="Times New Roman"/>
                <w:sz w:val="20"/>
                <w:szCs w:val="20"/>
              </w:rPr>
            </w:pPr>
            <w:r w:rsidRPr="0050509F">
              <w:rPr>
                <w:rFonts w:ascii="Times New Roman" w:hAnsi="Times New Roman" w:cs="Times New Roman"/>
                <w:sz w:val="20"/>
                <w:szCs w:val="20"/>
              </w:rPr>
              <w:lastRenderedPageBreak/>
              <w:t>Larsen, C 2006 The agricultural revolution as environmental catastrophe: implications for health and lifestyle in the Holocene. Quaternary International 150(1):12-20</w:t>
            </w:r>
          </w:p>
          <w:p w14:paraId="17E68939" w14:textId="77777777" w:rsidR="008E561F" w:rsidRPr="0050509F" w:rsidRDefault="008E561F" w:rsidP="00D808AB">
            <w:pPr>
              <w:rPr>
                <w:rFonts w:ascii="Times New Roman" w:hAnsi="Times New Roman" w:cs="Times New Roman"/>
                <w:color w:val="222222"/>
                <w:sz w:val="20"/>
                <w:szCs w:val="20"/>
                <w:shd w:val="clear" w:color="auto" w:fill="FFFFFF"/>
              </w:rPr>
            </w:pPr>
          </w:p>
          <w:p w14:paraId="2B770017" w14:textId="77777777" w:rsidR="008E561F" w:rsidRPr="0050509F" w:rsidRDefault="008E561F" w:rsidP="00D808AB">
            <w:pPr>
              <w:rPr>
                <w:rFonts w:ascii="Times New Roman" w:hAnsi="Times New Roman" w:cs="Times New Roman"/>
                <w:i/>
                <w:sz w:val="20"/>
                <w:szCs w:val="20"/>
              </w:rPr>
            </w:pPr>
            <w:r w:rsidRPr="0050509F">
              <w:rPr>
                <w:rFonts w:ascii="Times New Roman" w:hAnsi="Times New Roman" w:cs="Times New Roman"/>
                <w:i/>
                <w:color w:val="222222"/>
                <w:sz w:val="20"/>
                <w:szCs w:val="20"/>
                <w:shd w:val="clear" w:color="auto" w:fill="FFFFFF"/>
              </w:rPr>
              <w:t xml:space="preserve">Littleton, J., Allen, M. S., &amp; McFarlane, G. (2015). </w:t>
            </w:r>
            <w:r w:rsidRPr="00C90207">
              <w:rPr>
                <w:rFonts w:ascii="Times New Roman" w:hAnsi="Times New Roman" w:cs="Times New Roman"/>
                <w:color w:val="222222"/>
                <w:sz w:val="20"/>
                <w:szCs w:val="20"/>
                <w:shd w:val="clear" w:color="auto" w:fill="FFFFFF"/>
              </w:rPr>
              <w:t>Multi-species Perspectives on Anthropogenic Environments: Dental Pathology Patterns, Marquesas Islands (Polynesia). </w:t>
            </w:r>
            <w:r w:rsidRPr="0050509F">
              <w:rPr>
                <w:rFonts w:ascii="Times New Roman" w:hAnsi="Times New Roman" w:cs="Times New Roman"/>
                <w:i/>
                <w:iCs/>
                <w:color w:val="222222"/>
                <w:sz w:val="20"/>
                <w:szCs w:val="20"/>
                <w:shd w:val="clear" w:color="auto" w:fill="FFFFFF"/>
              </w:rPr>
              <w:t>The Journal of Island and Coastal Archaeology</w:t>
            </w:r>
            <w:r w:rsidRPr="0050509F">
              <w:rPr>
                <w:rFonts w:ascii="Times New Roman" w:hAnsi="Times New Roman" w:cs="Times New Roman"/>
                <w:i/>
                <w:color w:val="222222"/>
                <w:sz w:val="20"/>
                <w:szCs w:val="20"/>
                <w:shd w:val="clear" w:color="auto" w:fill="FFFFFF"/>
              </w:rPr>
              <w:t>, </w:t>
            </w:r>
            <w:r w:rsidRPr="0050509F">
              <w:rPr>
                <w:rFonts w:ascii="Times New Roman" w:hAnsi="Times New Roman" w:cs="Times New Roman"/>
                <w:i/>
                <w:iCs/>
                <w:color w:val="222222"/>
                <w:sz w:val="20"/>
                <w:szCs w:val="20"/>
                <w:shd w:val="clear" w:color="auto" w:fill="FFFFFF"/>
              </w:rPr>
              <w:t>10</w:t>
            </w:r>
            <w:r w:rsidRPr="0050509F">
              <w:rPr>
                <w:rFonts w:ascii="Times New Roman" w:hAnsi="Times New Roman" w:cs="Times New Roman"/>
                <w:i/>
                <w:color w:val="222222"/>
                <w:sz w:val="20"/>
                <w:szCs w:val="20"/>
                <w:shd w:val="clear" w:color="auto" w:fill="FFFFFF"/>
              </w:rPr>
              <w:t>(2), 277-301.</w:t>
            </w:r>
          </w:p>
          <w:p w14:paraId="0F4B4275" w14:textId="77777777" w:rsidR="008E561F" w:rsidRPr="0050509F" w:rsidRDefault="008E561F" w:rsidP="00D808AB">
            <w:pPr>
              <w:pStyle w:val="BodyText"/>
              <w:jc w:val="left"/>
              <w:rPr>
                <w:b w:val="0"/>
                <w:sz w:val="20"/>
              </w:rPr>
            </w:pPr>
          </w:p>
        </w:tc>
        <w:tc>
          <w:tcPr>
            <w:tcW w:w="1168" w:type="pct"/>
          </w:tcPr>
          <w:p w14:paraId="55413CA6" w14:textId="77777777" w:rsidR="008E561F" w:rsidRDefault="008E561F" w:rsidP="00D808AB">
            <w:pPr>
              <w:pStyle w:val="BodyText"/>
              <w:jc w:val="left"/>
              <w:rPr>
                <w:rFonts w:ascii="Palatino" w:hAnsi="Palatino"/>
                <w:sz w:val="22"/>
                <w:szCs w:val="22"/>
              </w:rPr>
            </w:pPr>
            <w:r>
              <w:rPr>
                <w:rFonts w:ascii="Palatino" w:hAnsi="Palatino"/>
                <w:sz w:val="22"/>
                <w:szCs w:val="22"/>
              </w:rPr>
              <w:lastRenderedPageBreak/>
              <w:t xml:space="preserve">Growth - </w:t>
            </w:r>
            <w:proofErr w:type="spellStart"/>
            <w:r>
              <w:rPr>
                <w:rFonts w:ascii="Palatino" w:hAnsi="Palatino"/>
                <w:sz w:val="22"/>
                <w:szCs w:val="22"/>
              </w:rPr>
              <w:t>Subadults</w:t>
            </w:r>
            <w:proofErr w:type="spellEnd"/>
          </w:p>
        </w:tc>
      </w:tr>
      <w:tr w:rsidR="008E561F" w14:paraId="39C93AA8" w14:textId="77777777" w:rsidTr="008E561F">
        <w:tc>
          <w:tcPr>
            <w:tcW w:w="252" w:type="pct"/>
          </w:tcPr>
          <w:p w14:paraId="55034BF2" w14:textId="57DC4E49" w:rsidR="008E561F" w:rsidRDefault="008E561F" w:rsidP="00D808AB">
            <w:pPr>
              <w:pStyle w:val="BodyText"/>
              <w:jc w:val="left"/>
              <w:rPr>
                <w:rFonts w:ascii="Palatino" w:hAnsi="Palatino"/>
                <w:sz w:val="22"/>
                <w:szCs w:val="22"/>
              </w:rPr>
            </w:pPr>
            <w:r>
              <w:rPr>
                <w:rFonts w:ascii="Palatino" w:hAnsi="Palatino"/>
                <w:sz w:val="22"/>
                <w:szCs w:val="22"/>
              </w:rPr>
              <w:t>10</w:t>
            </w:r>
          </w:p>
        </w:tc>
        <w:tc>
          <w:tcPr>
            <w:tcW w:w="426" w:type="pct"/>
          </w:tcPr>
          <w:p w14:paraId="11A47A05" w14:textId="411B7278" w:rsidR="008E561F" w:rsidRDefault="008E561F" w:rsidP="00D808AB">
            <w:pPr>
              <w:pStyle w:val="BodyText"/>
              <w:jc w:val="left"/>
              <w:rPr>
                <w:rFonts w:ascii="Palatino" w:hAnsi="Palatino"/>
                <w:sz w:val="22"/>
                <w:szCs w:val="22"/>
              </w:rPr>
            </w:pPr>
            <w:r>
              <w:rPr>
                <w:rFonts w:ascii="Palatino" w:hAnsi="Palatino"/>
                <w:sz w:val="22"/>
                <w:szCs w:val="22"/>
              </w:rPr>
              <w:t>3/10</w:t>
            </w:r>
          </w:p>
        </w:tc>
        <w:tc>
          <w:tcPr>
            <w:tcW w:w="1747" w:type="pct"/>
          </w:tcPr>
          <w:p w14:paraId="34C8F5B9" w14:textId="53C041AD" w:rsidR="008E561F" w:rsidRDefault="008E561F" w:rsidP="00D808AB">
            <w:pPr>
              <w:pStyle w:val="BodyText"/>
              <w:jc w:val="left"/>
              <w:rPr>
                <w:rFonts w:ascii="Palatino" w:hAnsi="Palatino"/>
                <w:sz w:val="22"/>
                <w:szCs w:val="22"/>
              </w:rPr>
            </w:pPr>
            <w:r>
              <w:rPr>
                <w:rFonts w:ascii="Palatino" w:hAnsi="Palatino"/>
                <w:sz w:val="22"/>
                <w:szCs w:val="22"/>
              </w:rPr>
              <w:t>Colonial contagion: colonisation, depopulation and change</w:t>
            </w:r>
          </w:p>
          <w:p w14:paraId="6EA20E37" w14:textId="1C8787D6" w:rsidR="008E561F" w:rsidRDefault="008E561F" w:rsidP="00D808AB">
            <w:pPr>
              <w:pStyle w:val="BodyText"/>
              <w:jc w:val="left"/>
              <w:rPr>
                <w:rFonts w:ascii="Palatino" w:hAnsi="Palatino"/>
                <w:sz w:val="22"/>
                <w:szCs w:val="22"/>
              </w:rPr>
            </w:pPr>
            <w:r w:rsidRPr="00CB2512">
              <w:rPr>
                <w:rFonts w:ascii="Palatino" w:hAnsi="Palatino"/>
                <w:i/>
                <w:sz w:val="22"/>
                <w:szCs w:val="22"/>
              </w:rPr>
              <w:t xml:space="preserve">Colonialism, immunological </w:t>
            </w:r>
            <w:proofErr w:type="spellStart"/>
            <w:r w:rsidRPr="00CB2512">
              <w:rPr>
                <w:rFonts w:ascii="Palatino" w:hAnsi="Palatino"/>
                <w:i/>
                <w:sz w:val="22"/>
                <w:szCs w:val="22"/>
              </w:rPr>
              <w:t>naievity</w:t>
            </w:r>
            <w:proofErr w:type="spellEnd"/>
            <w:r w:rsidRPr="00CB2512">
              <w:rPr>
                <w:rFonts w:ascii="Palatino" w:hAnsi="Palatino"/>
                <w:i/>
                <w:sz w:val="22"/>
                <w:szCs w:val="22"/>
              </w:rPr>
              <w:t>, depopulation, thinking beyond the germs, other areas of change.</w:t>
            </w:r>
          </w:p>
        </w:tc>
        <w:tc>
          <w:tcPr>
            <w:tcW w:w="1407" w:type="pct"/>
          </w:tcPr>
          <w:p w14:paraId="022B0655" w14:textId="77777777" w:rsidR="008E561F" w:rsidRPr="0050509F" w:rsidRDefault="008E561F" w:rsidP="00D808AB">
            <w:pPr>
              <w:pStyle w:val="BodyText"/>
              <w:jc w:val="left"/>
              <w:rPr>
                <w:b w:val="0"/>
                <w:color w:val="222222"/>
                <w:sz w:val="20"/>
                <w:shd w:val="clear" w:color="auto" w:fill="FFFFFF"/>
              </w:rPr>
            </w:pPr>
            <w:proofErr w:type="spellStart"/>
            <w:r w:rsidRPr="0050509F">
              <w:rPr>
                <w:b w:val="0"/>
                <w:color w:val="222222"/>
                <w:sz w:val="20"/>
                <w:shd w:val="clear" w:color="auto" w:fill="FFFFFF"/>
              </w:rPr>
              <w:t>Dobyns</w:t>
            </w:r>
            <w:proofErr w:type="spellEnd"/>
            <w:r w:rsidRPr="0050509F">
              <w:rPr>
                <w:b w:val="0"/>
                <w:color w:val="222222"/>
                <w:sz w:val="20"/>
                <w:shd w:val="clear" w:color="auto" w:fill="FFFFFF"/>
              </w:rPr>
              <w:t>, H. F. (1993). Disease transfer at contact. </w:t>
            </w:r>
            <w:r w:rsidRPr="0050509F">
              <w:rPr>
                <w:b w:val="0"/>
                <w:i/>
                <w:iCs/>
                <w:color w:val="222222"/>
                <w:sz w:val="20"/>
                <w:shd w:val="clear" w:color="auto" w:fill="FFFFFF"/>
              </w:rPr>
              <w:t>Annual Review of Anthropology</w:t>
            </w:r>
            <w:r w:rsidRPr="0050509F">
              <w:rPr>
                <w:b w:val="0"/>
                <w:color w:val="222222"/>
                <w:sz w:val="20"/>
                <w:shd w:val="clear" w:color="auto" w:fill="FFFFFF"/>
              </w:rPr>
              <w:t>, </w:t>
            </w:r>
            <w:r w:rsidRPr="0050509F">
              <w:rPr>
                <w:b w:val="0"/>
                <w:i/>
                <w:iCs/>
                <w:color w:val="222222"/>
                <w:sz w:val="20"/>
                <w:shd w:val="clear" w:color="auto" w:fill="FFFFFF"/>
              </w:rPr>
              <w:t>22</w:t>
            </w:r>
            <w:r w:rsidRPr="0050509F">
              <w:rPr>
                <w:b w:val="0"/>
                <w:color w:val="222222"/>
                <w:sz w:val="20"/>
                <w:shd w:val="clear" w:color="auto" w:fill="FFFFFF"/>
              </w:rPr>
              <w:t>(1), 273-291.</w:t>
            </w:r>
          </w:p>
          <w:p w14:paraId="2D921F30" w14:textId="77777777" w:rsidR="008E561F" w:rsidRPr="0050509F" w:rsidRDefault="008E561F" w:rsidP="00D808AB">
            <w:pPr>
              <w:pStyle w:val="BodyText"/>
              <w:jc w:val="left"/>
              <w:rPr>
                <w:b w:val="0"/>
                <w:color w:val="222222"/>
                <w:sz w:val="20"/>
                <w:shd w:val="clear" w:color="auto" w:fill="FFFFFF"/>
              </w:rPr>
            </w:pPr>
          </w:p>
          <w:p w14:paraId="2B502088" w14:textId="6B9112CB" w:rsidR="00A55588" w:rsidRPr="00A55588" w:rsidRDefault="00A55588" w:rsidP="00D808AB">
            <w:pPr>
              <w:pStyle w:val="BodyText"/>
              <w:jc w:val="left"/>
              <w:rPr>
                <w:rFonts w:ascii="Arial" w:hAnsi="Arial" w:cs="Arial"/>
                <w:b w:val="0"/>
                <w:color w:val="222222"/>
                <w:sz w:val="20"/>
                <w:shd w:val="clear" w:color="auto" w:fill="FFFFFF"/>
              </w:rPr>
            </w:pPr>
            <w:r w:rsidRPr="00A55588">
              <w:rPr>
                <w:rFonts w:ascii="Arial" w:hAnsi="Arial" w:cs="Arial"/>
                <w:b w:val="0"/>
                <w:color w:val="222222"/>
                <w:sz w:val="20"/>
                <w:shd w:val="clear" w:color="auto" w:fill="FFFFFF"/>
              </w:rPr>
              <w:t>Murphy, M. S., &amp; Klaus, H. D. (2017). </w:t>
            </w:r>
            <w:r w:rsidRPr="00A55588">
              <w:rPr>
                <w:rFonts w:ascii="Arial" w:hAnsi="Arial" w:cs="Arial"/>
                <w:b w:val="0"/>
                <w:i/>
                <w:iCs/>
                <w:color w:val="222222"/>
                <w:sz w:val="20"/>
                <w:shd w:val="clear" w:color="auto" w:fill="FFFFFF"/>
              </w:rPr>
              <w:t>Colonized bodies, worlds transformed: Toward a global bioarchaeology of contact and colonialism</w:t>
            </w:r>
            <w:r w:rsidRPr="00A55588">
              <w:rPr>
                <w:rFonts w:ascii="Arial" w:hAnsi="Arial" w:cs="Arial"/>
                <w:b w:val="0"/>
                <w:color w:val="222222"/>
                <w:sz w:val="20"/>
                <w:shd w:val="clear" w:color="auto" w:fill="FFFFFF"/>
              </w:rPr>
              <w:t>. University Press of Florida.</w:t>
            </w:r>
            <w:r w:rsidRPr="00A55588">
              <w:rPr>
                <w:rFonts w:ascii="Arial" w:hAnsi="Arial" w:cs="Arial"/>
                <w:b w:val="0"/>
                <w:color w:val="222222"/>
                <w:sz w:val="20"/>
                <w:shd w:val="clear" w:color="auto" w:fill="FFFFFF"/>
              </w:rPr>
              <w:t>p7-30</w:t>
            </w:r>
          </w:p>
          <w:p w14:paraId="378AE670" w14:textId="77777777" w:rsidR="00A55588" w:rsidRDefault="00A55588" w:rsidP="00D808AB">
            <w:pPr>
              <w:pStyle w:val="BodyText"/>
              <w:jc w:val="left"/>
              <w:rPr>
                <w:b w:val="0"/>
                <w:i/>
                <w:color w:val="222222"/>
                <w:sz w:val="20"/>
                <w:shd w:val="clear" w:color="auto" w:fill="FFFFFF"/>
              </w:rPr>
            </w:pPr>
          </w:p>
          <w:p w14:paraId="458964EB" w14:textId="3BFCC7FD" w:rsidR="008E561F" w:rsidRPr="0050509F" w:rsidRDefault="008E561F" w:rsidP="00D808AB">
            <w:pPr>
              <w:pStyle w:val="BodyText"/>
              <w:jc w:val="left"/>
              <w:rPr>
                <w:b w:val="0"/>
                <w:i/>
                <w:sz w:val="20"/>
              </w:rPr>
            </w:pPr>
            <w:r w:rsidRPr="0050509F">
              <w:rPr>
                <w:b w:val="0"/>
                <w:i/>
                <w:color w:val="222222"/>
                <w:sz w:val="20"/>
                <w:shd w:val="clear" w:color="auto" w:fill="FFFFFF"/>
              </w:rPr>
              <w:t xml:space="preserve">Klaus, H. D., &amp; Tam, M. E. (2009). Contact in the Andes: bioarchaeology of systemic stress in colonial </w:t>
            </w:r>
            <w:proofErr w:type="spellStart"/>
            <w:r w:rsidRPr="0050509F">
              <w:rPr>
                <w:b w:val="0"/>
                <w:i/>
                <w:color w:val="222222"/>
                <w:sz w:val="20"/>
                <w:shd w:val="clear" w:color="auto" w:fill="FFFFFF"/>
              </w:rPr>
              <w:t>Mórrope</w:t>
            </w:r>
            <w:proofErr w:type="spellEnd"/>
            <w:r w:rsidRPr="0050509F">
              <w:rPr>
                <w:b w:val="0"/>
                <w:i/>
                <w:color w:val="222222"/>
                <w:sz w:val="20"/>
                <w:shd w:val="clear" w:color="auto" w:fill="FFFFFF"/>
              </w:rPr>
              <w:t>, Peru. </w:t>
            </w:r>
            <w:r w:rsidRPr="0050509F">
              <w:rPr>
                <w:b w:val="0"/>
                <w:i/>
                <w:iCs/>
                <w:color w:val="222222"/>
                <w:sz w:val="20"/>
                <w:shd w:val="clear" w:color="auto" w:fill="FFFFFF"/>
              </w:rPr>
              <w:t>American Journal of Physical Anthropology</w:t>
            </w:r>
            <w:r w:rsidRPr="0050509F">
              <w:rPr>
                <w:b w:val="0"/>
                <w:i/>
                <w:color w:val="222222"/>
                <w:sz w:val="20"/>
                <w:shd w:val="clear" w:color="auto" w:fill="FFFFFF"/>
              </w:rPr>
              <w:t>, </w:t>
            </w:r>
            <w:r w:rsidRPr="0050509F">
              <w:rPr>
                <w:b w:val="0"/>
                <w:i/>
                <w:iCs/>
                <w:color w:val="222222"/>
                <w:sz w:val="20"/>
                <w:shd w:val="clear" w:color="auto" w:fill="FFFFFF"/>
              </w:rPr>
              <w:t>138</w:t>
            </w:r>
            <w:r w:rsidRPr="0050509F">
              <w:rPr>
                <w:b w:val="0"/>
                <w:i/>
                <w:color w:val="222222"/>
                <w:sz w:val="20"/>
                <w:shd w:val="clear" w:color="auto" w:fill="FFFFFF"/>
              </w:rPr>
              <w:t>(3), 356-368.</w:t>
            </w:r>
          </w:p>
          <w:p w14:paraId="42F17565" w14:textId="77777777" w:rsidR="008E561F" w:rsidRPr="0050509F" w:rsidRDefault="008E561F" w:rsidP="00D808AB">
            <w:pPr>
              <w:pStyle w:val="BodyText"/>
              <w:jc w:val="left"/>
              <w:rPr>
                <w:b w:val="0"/>
                <w:sz w:val="20"/>
              </w:rPr>
            </w:pPr>
          </w:p>
        </w:tc>
        <w:tc>
          <w:tcPr>
            <w:tcW w:w="1168" w:type="pct"/>
          </w:tcPr>
          <w:p w14:paraId="40DD5BE3" w14:textId="77777777" w:rsidR="008E561F" w:rsidRDefault="0050509F" w:rsidP="00D808AB">
            <w:pPr>
              <w:pStyle w:val="BodyText"/>
              <w:jc w:val="left"/>
              <w:rPr>
                <w:rFonts w:ascii="Palatino" w:hAnsi="Palatino"/>
                <w:sz w:val="22"/>
                <w:szCs w:val="22"/>
              </w:rPr>
            </w:pPr>
            <w:r>
              <w:rPr>
                <w:rFonts w:ascii="Palatino" w:hAnsi="Palatino"/>
                <w:sz w:val="22"/>
                <w:szCs w:val="22"/>
              </w:rPr>
              <w:t>Ethics discussion</w:t>
            </w:r>
          </w:p>
          <w:p w14:paraId="071AE2AB" w14:textId="77777777" w:rsidR="0050509F" w:rsidRDefault="0050509F" w:rsidP="00D808AB">
            <w:pPr>
              <w:pStyle w:val="BodyText"/>
              <w:jc w:val="left"/>
              <w:rPr>
                <w:rFonts w:ascii="Palatino" w:hAnsi="Palatino"/>
                <w:sz w:val="22"/>
                <w:szCs w:val="22"/>
              </w:rPr>
            </w:pPr>
          </w:p>
          <w:p w14:paraId="44317E5B" w14:textId="53BA6E6F" w:rsidR="0050509F" w:rsidRDefault="0050509F" w:rsidP="00D808AB">
            <w:pPr>
              <w:pStyle w:val="BodyText"/>
              <w:jc w:val="left"/>
              <w:rPr>
                <w:rFonts w:ascii="Palatino" w:hAnsi="Palatino"/>
                <w:sz w:val="22"/>
                <w:szCs w:val="22"/>
              </w:rPr>
            </w:pPr>
            <w:r w:rsidRPr="0050509F">
              <w:rPr>
                <w:rFonts w:ascii="Palatino" w:hAnsi="Palatino"/>
                <w:color w:val="FF0000"/>
                <w:sz w:val="22"/>
                <w:szCs w:val="22"/>
              </w:rPr>
              <w:t xml:space="preserve">SUBMIT SHORT ESSAY ON A CODE OF PRACTICE due </w:t>
            </w:r>
            <w:r w:rsidRPr="0050509F">
              <w:rPr>
                <w:rFonts w:ascii="Palatino" w:hAnsi="Palatino"/>
                <w:color w:val="FF0000"/>
                <w:sz w:val="22"/>
                <w:szCs w:val="22"/>
              </w:rPr>
              <w:t xml:space="preserve">10 </w:t>
            </w:r>
            <w:r w:rsidRPr="0050509F">
              <w:rPr>
                <w:rFonts w:ascii="Palatino" w:hAnsi="Palatino"/>
                <w:color w:val="FF0000"/>
                <w:sz w:val="22"/>
                <w:szCs w:val="22"/>
              </w:rPr>
              <w:t>October 2017</w:t>
            </w:r>
          </w:p>
        </w:tc>
      </w:tr>
      <w:tr w:rsidR="008E561F" w14:paraId="41FC2E1A" w14:textId="77777777" w:rsidTr="008E561F">
        <w:tc>
          <w:tcPr>
            <w:tcW w:w="252" w:type="pct"/>
          </w:tcPr>
          <w:p w14:paraId="69F661C4" w14:textId="39B43411" w:rsidR="008E561F" w:rsidRDefault="008E561F" w:rsidP="00D808AB">
            <w:pPr>
              <w:pStyle w:val="BodyText"/>
              <w:jc w:val="left"/>
              <w:rPr>
                <w:rFonts w:ascii="Palatino" w:hAnsi="Palatino"/>
                <w:sz w:val="22"/>
                <w:szCs w:val="22"/>
              </w:rPr>
            </w:pPr>
            <w:r>
              <w:rPr>
                <w:rFonts w:ascii="Palatino" w:hAnsi="Palatino"/>
                <w:sz w:val="22"/>
                <w:szCs w:val="22"/>
              </w:rPr>
              <w:t>11</w:t>
            </w:r>
          </w:p>
        </w:tc>
        <w:tc>
          <w:tcPr>
            <w:tcW w:w="426" w:type="pct"/>
          </w:tcPr>
          <w:p w14:paraId="3BC7057B" w14:textId="7A856165" w:rsidR="008E561F" w:rsidRDefault="008E561F" w:rsidP="00D808AB">
            <w:pPr>
              <w:pStyle w:val="BodyText"/>
              <w:jc w:val="left"/>
              <w:rPr>
                <w:rFonts w:ascii="Palatino" w:hAnsi="Palatino"/>
                <w:sz w:val="22"/>
                <w:szCs w:val="22"/>
              </w:rPr>
            </w:pPr>
            <w:r>
              <w:rPr>
                <w:rFonts w:ascii="Palatino" w:hAnsi="Palatino"/>
                <w:sz w:val="22"/>
                <w:szCs w:val="22"/>
              </w:rPr>
              <w:t>10/10</w:t>
            </w:r>
          </w:p>
        </w:tc>
        <w:tc>
          <w:tcPr>
            <w:tcW w:w="1747" w:type="pct"/>
          </w:tcPr>
          <w:p w14:paraId="4CC96EC8" w14:textId="6DE9C211" w:rsidR="008E561F" w:rsidRDefault="008E561F" w:rsidP="00D808AB">
            <w:pPr>
              <w:pStyle w:val="BodyText"/>
              <w:jc w:val="left"/>
              <w:rPr>
                <w:rFonts w:ascii="Palatino" w:hAnsi="Palatino"/>
                <w:sz w:val="22"/>
                <w:szCs w:val="22"/>
              </w:rPr>
            </w:pPr>
            <w:r>
              <w:rPr>
                <w:rFonts w:ascii="Palatino" w:hAnsi="Palatino"/>
                <w:sz w:val="22"/>
                <w:szCs w:val="22"/>
              </w:rPr>
              <w:t>The importance of bodies: post-mortem manipulation of the deceased.</w:t>
            </w:r>
          </w:p>
          <w:p w14:paraId="77DC1173" w14:textId="66ABDF59" w:rsidR="008E561F" w:rsidRDefault="008E561F" w:rsidP="00D808AB">
            <w:pPr>
              <w:pStyle w:val="BodyText"/>
              <w:jc w:val="left"/>
              <w:rPr>
                <w:rFonts w:ascii="Palatino" w:hAnsi="Palatino"/>
                <w:sz w:val="22"/>
                <w:szCs w:val="22"/>
              </w:rPr>
            </w:pPr>
            <w:r w:rsidRPr="00CB2512">
              <w:rPr>
                <w:rFonts w:ascii="Palatino" w:hAnsi="Palatino"/>
                <w:i/>
                <w:sz w:val="22"/>
                <w:szCs w:val="22"/>
              </w:rPr>
              <w:t>The body politic, the value of bodies, cannibalism, moving bodies.</w:t>
            </w:r>
          </w:p>
        </w:tc>
        <w:tc>
          <w:tcPr>
            <w:tcW w:w="1407" w:type="pct"/>
          </w:tcPr>
          <w:p w14:paraId="3426C3DD" w14:textId="77777777" w:rsidR="008E561F" w:rsidRPr="0050509F" w:rsidRDefault="008E561F" w:rsidP="00D808AB">
            <w:pPr>
              <w:shd w:val="clear" w:color="auto" w:fill="FFFFFF"/>
              <w:outlineLvl w:val="2"/>
              <w:rPr>
                <w:rFonts w:ascii="Times New Roman" w:hAnsi="Times New Roman" w:cs="Times New Roman"/>
                <w:sz w:val="20"/>
                <w:szCs w:val="20"/>
              </w:rPr>
            </w:pPr>
            <w:r w:rsidRPr="0050509F">
              <w:rPr>
                <w:rFonts w:ascii="Times New Roman" w:hAnsi="Times New Roman" w:cs="Times New Roman"/>
                <w:sz w:val="20"/>
                <w:szCs w:val="20"/>
              </w:rPr>
              <w:t xml:space="preserve">Arnold, B 2014 Life after life: bioarchaeology and </w:t>
            </w:r>
            <w:proofErr w:type="spellStart"/>
            <w:r w:rsidRPr="0050509F">
              <w:rPr>
                <w:rFonts w:ascii="Times New Roman" w:hAnsi="Times New Roman" w:cs="Times New Roman"/>
                <w:sz w:val="20"/>
                <w:szCs w:val="20"/>
              </w:rPr>
              <w:t>postmortem</w:t>
            </w:r>
            <w:proofErr w:type="spellEnd"/>
            <w:r w:rsidRPr="0050509F">
              <w:rPr>
                <w:rFonts w:ascii="Times New Roman" w:hAnsi="Times New Roman" w:cs="Times New Roman"/>
                <w:sz w:val="20"/>
                <w:szCs w:val="20"/>
              </w:rPr>
              <w:t xml:space="preserve"> agency. Cambridge Archaeological Journal 24(3):523-9</w:t>
            </w:r>
          </w:p>
          <w:p w14:paraId="32EF9EDD" w14:textId="77777777" w:rsidR="008E561F" w:rsidRPr="0050509F" w:rsidRDefault="008E561F" w:rsidP="00D808AB">
            <w:pPr>
              <w:pStyle w:val="BodyText"/>
              <w:jc w:val="left"/>
              <w:rPr>
                <w:b w:val="0"/>
                <w:sz w:val="20"/>
              </w:rPr>
            </w:pPr>
          </w:p>
          <w:p w14:paraId="4E34CBC0" w14:textId="77777777" w:rsidR="008E561F" w:rsidRPr="0050509F" w:rsidRDefault="008E561F" w:rsidP="00D808AB">
            <w:pPr>
              <w:pStyle w:val="BodyText"/>
              <w:jc w:val="left"/>
              <w:rPr>
                <w:b w:val="0"/>
                <w:sz w:val="20"/>
              </w:rPr>
            </w:pPr>
            <w:r w:rsidRPr="0050509F">
              <w:rPr>
                <w:b w:val="0"/>
                <w:sz w:val="20"/>
              </w:rPr>
              <w:t xml:space="preserve">Hutchinson, D and L Aragon 2008 Collective burials and community memories: interpreting the placement of the dead in the </w:t>
            </w:r>
            <w:proofErr w:type="spellStart"/>
            <w:r w:rsidRPr="0050509F">
              <w:rPr>
                <w:b w:val="0"/>
                <w:sz w:val="20"/>
              </w:rPr>
              <w:t>Southeastern</w:t>
            </w:r>
            <w:proofErr w:type="spellEnd"/>
            <w:r w:rsidRPr="0050509F">
              <w:rPr>
                <w:b w:val="0"/>
                <w:sz w:val="20"/>
              </w:rPr>
              <w:t xml:space="preserve"> and mid-Atlantic United stated with reference to ethnographic cases from Indonesia. Arch Papers of the Am </w:t>
            </w:r>
            <w:proofErr w:type="spellStart"/>
            <w:r w:rsidRPr="0050509F">
              <w:rPr>
                <w:b w:val="0"/>
                <w:sz w:val="20"/>
              </w:rPr>
              <w:t>Anth</w:t>
            </w:r>
            <w:proofErr w:type="spellEnd"/>
            <w:r w:rsidRPr="0050509F">
              <w:rPr>
                <w:b w:val="0"/>
                <w:sz w:val="20"/>
              </w:rPr>
              <w:t xml:space="preserve"> </w:t>
            </w:r>
            <w:proofErr w:type="spellStart"/>
            <w:r w:rsidRPr="0050509F">
              <w:rPr>
                <w:b w:val="0"/>
                <w:sz w:val="20"/>
              </w:rPr>
              <w:t>Associ</w:t>
            </w:r>
            <w:proofErr w:type="spellEnd"/>
            <w:r w:rsidRPr="0050509F">
              <w:rPr>
                <w:b w:val="0"/>
                <w:sz w:val="20"/>
              </w:rPr>
              <w:t xml:space="preserve"> 11:27-54</w:t>
            </w:r>
          </w:p>
        </w:tc>
        <w:tc>
          <w:tcPr>
            <w:tcW w:w="1168" w:type="pct"/>
          </w:tcPr>
          <w:p w14:paraId="5A79761D" w14:textId="288D7D82" w:rsidR="008E561F" w:rsidRDefault="0050509F" w:rsidP="00D808AB">
            <w:pPr>
              <w:pStyle w:val="BodyText"/>
              <w:jc w:val="left"/>
              <w:rPr>
                <w:rFonts w:ascii="Palatino" w:hAnsi="Palatino"/>
                <w:sz w:val="22"/>
                <w:szCs w:val="22"/>
              </w:rPr>
            </w:pPr>
            <w:proofErr w:type="spellStart"/>
            <w:r>
              <w:rPr>
                <w:rFonts w:ascii="Palatino" w:hAnsi="Palatino"/>
                <w:sz w:val="22"/>
                <w:szCs w:val="22"/>
              </w:rPr>
              <w:t>Taphonomy</w:t>
            </w:r>
            <w:proofErr w:type="spellEnd"/>
            <w:r>
              <w:rPr>
                <w:rFonts w:ascii="Palatino" w:hAnsi="Palatino"/>
                <w:sz w:val="22"/>
                <w:szCs w:val="22"/>
              </w:rPr>
              <w:t xml:space="preserve"> and context</w:t>
            </w:r>
          </w:p>
          <w:p w14:paraId="3652F6FB" w14:textId="77777777" w:rsidR="008E561F" w:rsidRDefault="008E561F" w:rsidP="00D808AB">
            <w:pPr>
              <w:pStyle w:val="BodyText"/>
              <w:jc w:val="left"/>
              <w:rPr>
                <w:rFonts w:ascii="Palatino" w:hAnsi="Palatino"/>
                <w:sz w:val="22"/>
                <w:szCs w:val="22"/>
              </w:rPr>
            </w:pPr>
          </w:p>
          <w:p w14:paraId="00B52FEC" w14:textId="322B8280" w:rsidR="0050509F" w:rsidRDefault="0050509F" w:rsidP="00D808AB">
            <w:pPr>
              <w:pStyle w:val="BodyText"/>
              <w:jc w:val="left"/>
              <w:rPr>
                <w:rFonts w:ascii="Palatino" w:hAnsi="Palatino"/>
                <w:sz w:val="22"/>
                <w:szCs w:val="22"/>
              </w:rPr>
            </w:pPr>
          </w:p>
        </w:tc>
      </w:tr>
      <w:tr w:rsidR="008E561F" w14:paraId="7E3139F2" w14:textId="77777777" w:rsidTr="008E561F">
        <w:tc>
          <w:tcPr>
            <w:tcW w:w="252" w:type="pct"/>
          </w:tcPr>
          <w:p w14:paraId="36CD3FF1" w14:textId="513E3915" w:rsidR="008E561F" w:rsidRDefault="008E561F" w:rsidP="00D808AB">
            <w:pPr>
              <w:pStyle w:val="BodyText"/>
              <w:jc w:val="left"/>
              <w:rPr>
                <w:rFonts w:ascii="Palatino" w:hAnsi="Palatino"/>
                <w:sz w:val="22"/>
                <w:szCs w:val="22"/>
              </w:rPr>
            </w:pPr>
            <w:r>
              <w:rPr>
                <w:rFonts w:ascii="Palatino" w:hAnsi="Palatino"/>
                <w:sz w:val="22"/>
                <w:szCs w:val="22"/>
              </w:rPr>
              <w:t>12</w:t>
            </w:r>
          </w:p>
        </w:tc>
        <w:tc>
          <w:tcPr>
            <w:tcW w:w="426" w:type="pct"/>
          </w:tcPr>
          <w:p w14:paraId="30E31538" w14:textId="2C1182A2" w:rsidR="008E561F" w:rsidRDefault="008E561F" w:rsidP="00D808AB">
            <w:pPr>
              <w:pStyle w:val="BodyText"/>
              <w:jc w:val="left"/>
              <w:rPr>
                <w:rFonts w:ascii="Palatino" w:hAnsi="Palatino"/>
                <w:sz w:val="22"/>
                <w:szCs w:val="22"/>
              </w:rPr>
            </w:pPr>
            <w:r>
              <w:rPr>
                <w:rFonts w:ascii="Palatino" w:hAnsi="Palatino"/>
                <w:sz w:val="22"/>
                <w:szCs w:val="22"/>
              </w:rPr>
              <w:t>17/10</w:t>
            </w:r>
          </w:p>
        </w:tc>
        <w:tc>
          <w:tcPr>
            <w:tcW w:w="1747" w:type="pct"/>
          </w:tcPr>
          <w:p w14:paraId="6AA43A5D" w14:textId="5D2A0A89" w:rsidR="008E561F" w:rsidRDefault="008E561F" w:rsidP="00D808AB">
            <w:pPr>
              <w:pStyle w:val="BodyText"/>
              <w:jc w:val="left"/>
              <w:rPr>
                <w:rFonts w:ascii="Palatino" w:hAnsi="Palatino"/>
                <w:sz w:val="22"/>
                <w:szCs w:val="22"/>
              </w:rPr>
            </w:pPr>
            <w:r>
              <w:rPr>
                <w:rFonts w:ascii="Palatino" w:hAnsi="Palatino"/>
                <w:sz w:val="22"/>
                <w:szCs w:val="22"/>
              </w:rPr>
              <w:t>Ethics and best practice in New Zealand</w:t>
            </w:r>
          </w:p>
          <w:p w14:paraId="02816C39" w14:textId="0D13CCA3" w:rsidR="008E561F" w:rsidRPr="00DD606D" w:rsidRDefault="008E561F" w:rsidP="00D808AB">
            <w:pPr>
              <w:pStyle w:val="BodyText"/>
              <w:jc w:val="left"/>
              <w:rPr>
                <w:rFonts w:ascii="Palatino" w:hAnsi="Palatino"/>
                <w:i/>
                <w:sz w:val="22"/>
                <w:szCs w:val="22"/>
              </w:rPr>
            </w:pPr>
            <w:r>
              <w:rPr>
                <w:rFonts w:ascii="Palatino" w:hAnsi="Palatino"/>
                <w:i/>
                <w:sz w:val="22"/>
                <w:szCs w:val="22"/>
              </w:rPr>
              <w:t>Ethics, legislation, ideas of the body, collaboration.</w:t>
            </w:r>
          </w:p>
        </w:tc>
        <w:tc>
          <w:tcPr>
            <w:tcW w:w="1407" w:type="pct"/>
          </w:tcPr>
          <w:p w14:paraId="31F747A3" w14:textId="77777777" w:rsidR="008E561F" w:rsidRPr="0050509F" w:rsidRDefault="008E561F" w:rsidP="00D808AB">
            <w:pPr>
              <w:shd w:val="clear" w:color="auto" w:fill="FFFFFF"/>
              <w:outlineLvl w:val="2"/>
              <w:rPr>
                <w:rFonts w:ascii="Times New Roman" w:eastAsia="SimSun" w:hAnsi="Times New Roman" w:cs="Times New Roman"/>
                <w:color w:val="1A1A1A"/>
                <w:sz w:val="20"/>
                <w:szCs w:val="20"/>
                <w:lang w:eastAsia="en-NZ"/>
              </w:rPr>
            </w:pPr>
            <w:r w:rsidRPr="0050509F">
              <w:rPr>
                <w:rFonts w:ascii="Times New Roman" w:eastAsia="SimSun" w:hAnsi="Times New Roman" w:cs="Times New Roman"/>
                <w:color w:val="1A1A1A"/>
                <w:sz w:val="20"/>
                <w:szCs w:val="20"/>
                <w:lang w:eastAsia="en-NZ"/>
              </w:rPr>
              <w:t xml:space="preserve">Ashby, Edward. "Forensic archaeology in New Zealand: Review and future directions." </w:t>
            </w:r>
            <w:r w:rsidRPr="0050509F">
              <w:rPr>
                <w:rFonts w:ascii="Times New Roman" w:eastAsia="SimSun" w:hAnsi="Times New Roman" w:cs="Times New Roman"/>
                <w:i/>
                <w:iCs/>
                <w:color w:val="1A1A1A"/>
                <w:sz w:val="20"/>
                <w:szCs w:val="20"/>
                <w:lang w:eastAsia="en-NZ"/>
              </w:rPr>
              <w:lastRenderedPageBreak/>
              <w:t>Australian Journal of Forensic Sciences</w:t>
            </w:r>
            <w:r w:rsidRPr="0050509F">
              <w:rPr>
                <w:rFonts w:ascii="Times New Roman" w:eastAsia="SimSun" w:hAnsi="Times New Roman" w:cs="Times New Roman"/>
                <w:color w:val="1A1A1A"/>
                <w:sz w:val="20"/>
                <w:szCs w:val="20"/>
                <w:lang w:eastAsia="en-NZ"/>
              </w:rPr>
              <w:t xml:space="preserve"> 45.1 (2013): 25-35.</w:t>
            </w:r>
          </w:p>
          <w:p w14:paraId="2DAE6206" w14:textId="77777777" w:rsidR="008E561F" w:rsidRPr="0050509F" w:rsidRDefault="008E561F" w:rsidP="00D808AB">
            <w:pPr>
              <w:shd w:val="clear" w:color="auto" w:fill="FFFFFF"/>
              <w:outlineLvl w:val="2"/>
              <w:rPr>
                <w:rFonts w:ascii="Times New Roman" w:eastAsia="SimSun" w:hAnsi="Times New Roman" w:cs="Times New Roman"/>
                <w:color w:val="1A1A1A"/>
                <w:sz w:val="20"/>
                <w:szCs w:val="20"/>
                <w:lang w:eastAsia="en-NZ"/>
              </w:rPr>
            </w:pPr>
          </w:p>
          <w:p w14:paraId="768405C3" w14:textId="77777777" w:rsidR="008E561F" w:rsidRPr="0050509F" w:rsidRDefault="008E561F" w:rsidP="00D808AB">
            <w:pPr>
              <w:pStyle w:val="BodyText"/>
              <w:jc w:val="left"/>
              <w:rPr>
                <w:b w:val="0"/>
                <w:sz w:val="20"/>
              </w:rPr>
            </w:pPr>
            <w:r w:rsidRPr="0050509F">
              <w:rPr>
                <w:rFonts w:eastAsia="Calibri"/>
                <w:b w:val="0"/>
                <w:color w:val="000000"/>
                <w:sz w:val="20"/>
                <w:lang w:val="en-NZ" w:eastAsia="en-NZ"/>
              </w:rPr>
              <w:t xml:space="preserve">Historic Places Trust 2010 Archaeological Guidelines Series No. 8 </w:t>
            </w:r>
            <w:proofErr w:type="spellStart"/>
            <w:r w:rsidRPr="0050509F">
              <w:rPr>
                <w:rFonts w:eastAsia="Calibri"/>
                <w:b w:val="0"/>
                <w:color w:val="000000"/>
                <w:sz w:val="20"/>
                <w:lang w:val="en-NZ" w:eastAsia="en-NZ"/>
              </w:rPr>
              <w:t>Koiwi</w:t>
            </w:r>
            <w:proofErr w:type="spellEnd"/>
            <w:r w:rsidRPr="0050509F">
              <w:rPr>
                <w:rFonts w:eastAsia="Calibri"/>
                <w:b w:val="0"/>
                <w:color w:val="000000"/>
                <w:sz w:val="20"/>
                <w:lang w:val="en-NZ" w:eastAsia="en-NZ"/>
              </w:rPr>
              <w:t xml:space="preserve"> </w:t>
            </w:r>
            <w:proofErr w:type="spellStart"/>
            <w:r w:rsidRPr="0050509F">
              <w:rPr>
                <w:rFonts w:eastAsia="Calibri"/>
                <w:b w:val="0"/>
                <w:color w:val="000000"/>
                <w:sz w:val="20"/>
                <w:lang w:val="en-NZ" w:eastAsia="en-NZ"/>
              </w:rPr>
              <w:t>Tangata</w:t>
            </w:r>
            <w:proofErr w:type="spellEnd"/>
            <w:r w:rsidRPr="0050509F">
              <w:rPr>
                <w:rFonts w:eastAsia="Calibri"/>
                <w:b w:val="0"/>
                <w:color w:val="000000"/>
                <w:sz w:val="20"/>
                <w:lang w:val="en-NZ" w:eastAsia="en-NZ"/>
              </w:rPr>
              <w:t xml:space="preserve">/Human Remains. </w:t>
            </w:r>
            <w:r w:rsidRPr="0050509F">
              <w:rPr>
                <w:rFonts w:eastAsia="Calibri"/>
                <w:b w:val="0"/>
                <w:sz w:val="20"/>
                <w:lang w:val="en-NZ" w:eastAsia="en-NZ"/>
              </w:rPr>
              <w:t xml:space="preserve"> </w:t>
            </w:r>
            <w:r w:rsidRPr="0050509F">
              <w:rPr>
                <w:rFonts w:eastAsia="Calibri"/>
                <w:b w:val="0"/>
                <w:color w:val="000000"/>
                <w:sz w:val="20"/>
                <w:lang w:val="en-NZ" w:eastAsia="en-NZ"/>
              </w:rPr>
              <w:t>ISBN 978-0-908577-98-9 (online)</w:t>
            </w:r>
          </w:p>
        </w:tc>
        <w:tc>
          <w:tcPr>
            <w:tcW w:w="1168" w:type="pct"/>
          </w:tcPr>
          <w:p w14:paraId="41DE09F8" w14:textId="77777777" w:rsidR="008E561F" w:rsidRDefault="008E561F" w:rsidP="00D808AB">
            <w:pPr>
              <w:pStyle w:val="BodyText"/>
              <w:jc w:val="left"/>
              <w:rPr>
                <w:rFonts w:ascii="Palatino" w:hAnsi="Palatino"/>
                <w:sz w:val="22"/>
                <w:szCs w:val="22"/>
              </w:rPr>
            </w:pPr>
            <w:r>
              <w:rPr>
                <w:rFonts w:ascii="Palatino" w:hAnsi="Palatino"/>
                <w:sz w:val="22"/>
                <w:szCs w:val="22"/>
              </w:rPr>
              <w:lastRenderedPageBreak/>
              <w:t>NO LAB</w:t>
            </w:r>
          </w:p>
        </w:tc>
      </w:tr>
      <w:tr w:rsidR="008E561F" w14:paraId="0B87483B" w14:textId="77777777" w:rsidTr="008E561F">
        <w:tc>
          <w:tcPr>
            <w:tcW w:w="252" w:type="pct"/>
          </w:tcPr>
          <w:p w14:paraId="32CDDFBB" w14:textId="77777777" w:rsidR="008E561F" w:rsidRDefault="008E561F" w:rsidP="00D808AB">
            <w:pPr>
              <w:pStyle w:val="BodyText"/>
              <w:jc w:val="left"/>
              <w:rPr>
                <w:rFonts w:ascii="Palatino" w:hAnsi="Palatino"/>
                <w:sz w:val="22"/>
                <w:szCs w:val="22"/>
              </w:rPr>
            </w:pPr>
          </w:p>
        </w:tc>
        <w:tc>
          <w:tcPr>
            <w:tcW w:w="426" w:type="pct"/>
          </w:tcPr>
          <w:p w14:paraId="1F0CD31D" w14:textId="77777777" w:rsidR="008E561F" w:rsidRDefault="008E561F" w:rsidP="00D808AB">
            <w:pPr>
              <w:pStyle w:val="BodyText"/>
              <w:jc w:val="left"/>
              <w:rPr>
                <w:rFonts w:ascii="Palatino" w:hAnsi="Palatino"/>
                <w:sz w:val="22"/>
                <w:szCs w:val="22"/>
              </w:rPr>
            </w:pPr>
          </w:p>
        </w:tc>
        <w:tc>
          <w:tcPr>
            <w:tcW w:w="1747" w:type="pct"/>
          </w:tcPr>
          <w:p w14:paraId="4A0BD2A1" w14:textId="77777777" w:rsidR="008E561F" w:rsidRDefault="008E561F" w:rsidP="00D808AB">
            <w:pPr>
              <w:pStyle w:val="BodyText"/>
              <w:jc w:val="left"/>
              <w:rPr>
                <w:rFonts w:ascii="Palatino" w:hAnsi="Palatino"/>
                <w:sz w:val="22"/>
                <w:szCs w:val="22"/>
              </w:rPr>
            </w:pPr>
          </w:p>
        </w:tc>
        <w:tc>
          <w:tcPr>
            <w:tcW w:w="1407" w:type="pct"/>
          </w:tcPr>
          <w:p w14:paraId="429C5530" w14:textId="77777777" w:rsidR="008E561F" w:rsidRPr="0050509F" w:rsidRDefault="008E561F" w:rsidP="00D808AB">
            <w:pPr>
              <w:shd w:val="clear" w:color="auto" w:fill="FFFFFF"/>
              <w:outlineLvl w:val="2"/>
              <w:rPr>
                <w:rFonts w:ascii="Times New Roman" w:eastAsia="SimSun" w:hAnsi="Times New Roman" w:cs="Times New Roman"/>
                <w:color w:val="1A1A1A"/>
                <w:sz w:val="20"/>
                <w:szCs w:val="20"/>
                <w:lang w:eastAsia="en-NZ"/>
              </w:rPr>
            </w:pPr>
          </w:p>
        </w:tc>
        <w:tc>
          <w:tcPr>
            <w:tcW w:w="1168" w:type="pct"/>
          </w:tcPr>
          <w:p w14:paraId="027CDF18" w14:textId="2B45A965" w:rsidR="008E561F" w:rsidRDefault="008E561F" w:rsidP="00D808AB">
            <w:pPr>
              <w:pStyle w:val="BodyText"/>
              <w:jc w:val="left"/>
              <w:rPr>
                <w:rFonts w:ascii="Palatino" w:hAnsi="Palatino"/>
                <w:sz w:val="22"/>
                <w:szCs w:val="22"/>
              </w:rPr>
            </w:pPr>
            <w:r w:rsidRPr="0050509F">
              <w:rPr>
                <w:rFonts w:ascii="Palatino" w:hAnsi="Palatino"/>
                <w:color w:val="FF0000"/>
                <w:sz w:val="22"/>
                <w:szCs w:val="22"/>
              </w:rPr>
              <w:t>TAKE HOME EXAM  Released 20 October 2018, Due 24 October, 2018</w:t>
            </w:r>
          </w:p>
        </w:tc>
      </w:tr>
      <w:tr w:rsidR="008E561F" w14:paraId="117B612F" w14:textId="77777777" w:rsidTr="008E561F">
        <w:tc>
          <w:tcPr>
            <w:tcW w:w="252" w:type="pct"/>
          </w:tcPr>
          <w:p w14:paraId="23A4230D" w14:textId="77777777" w:rsidR="008E561F" w:rsidRDefault="008E561F" w:rsidP="00D808AB">
            <w:pPr>
              <w:pStyle w:val="BodyText"/>
              <w:jc w:val="left"/>
              <w:rPr>
                <w:rFonts w:ascii="Palatino" w:hAnsi="Palatino"/>
                <w:sz w:val="22"/>
                <w:szCs w:val="22"/>
              </w:rPr>
            </w:pPr>
          </w:p>
        </w:tc>
        <w:tc>
          <w:tcPr>
            <w:tcW w:w="426" w:type="pct"/>
          </w:tcPr>
          <w:p w14:paraId="6AE16BCF" w14:textId="77777777" w:rsidR="008E561F" w:rsidRDefault="008E561F" w:rsidP="00D808AB">
            <w:pPr>
              <w:pStyle w:val="BodyText"/>
              <w:jc w:val="left"/>
              <w:rPr>
                <w:rFonts w:ascii="Palatino" w:hAnsi="Palatino"/>
                <w:sz w:val="22"/>
                <w:szCs w:val="22"/>
              </w:rPr>
            </w:pPr>
          </w:p>
        </w:tc>
        <w:tc>
          <w:tcPr>
            <w:tcW w:w="1747" w:type="pct"/>
          </w:tcPr>
          <w:p w14:paraId="64F1C5FB" w14:textId="77777777" w:rsidR="008E561F" w:rsidRDefault="008E561F" w:rsidP="00D808AB">
            <w:pPr>
              <w:pStyle w:val="BodyText"/>
              <w:jc w:val="left"/>
              <w:rPr>
                <w:rFonts w:ascii="Palatino" w:hAnsi="Palatino"/>
                <w:sz w:val="22"/>
                <w:szCs w:val="22"/>
              </w:rPr>
            </w:pPr>
          </w:p>
        </w:tc>
        <w:tc>
          <w:tcPr>
            <w:tcW w:w="1407" w:type="pct"/>
          </w:tcPr>
          <w:p w14:paraId="2A4509AC" w14:textId="77777777" w:rsidR="008E561F" w:rsidRPr="0050509F" w:rsidRDefault="008E561F" w:rsidP="00D808AB">
            <w:pPr>
              <w:shd w:val="clear" w:color="auto" w:fill="FFFFFF"/>
              <w:outlineLvl w:val="2"/>
              <w:rPr>
                <w:rFonts w:ascii="Times New Roman" w:eastAsia="SimSun" w:hAnsi="Times New Roman" w:cs="Times New Roman"/>
                <w:color w:val="1A1A1A"/>
                <w:sz w:val="20"/>
                <w:szCs w:val="20"/>
                <w:lang w:eastAsia="en-NZ"/>
              </w:rPr>
            </w:pPr>
          </w:p>
        </w:tc>
        <w:tc>
          <w:tcPr>
            <w:tcW w:w="1168" w:type="pct"/>
          </w:tcPr>
          <w:p w14:paraId="3590DD02" w14:textId="77777777" w:rsidR="008E561F" w:rsidRDefault="008E561F" w:rsidP="00D808AB">
            <w:pPr>
              <w:pStyle w:val="BodyText"/>
              <w:jc w:val="left"/>
              <w:rPr>
                <w:rFonts w:ascii="Palatino" w:hAnsi="Palatino"/>
                <w:sz w:val="22"/>
                <w:szCs w:val="22"/>
              </w:rPr>
            </w:pPr>
          </w:p>
        </w:tc>
      </w:tr>
    </w:tbl>
    <w:p w14:paraId="66617B7D" w14:textId="7DD3C9D3" w:rsidR="00F70A28" w:rsidRDefault="00F70A28"/>
    <w:sectPr w:rsidR="00F70A28" w:rsidSect="00CB2512">
      <w:pgSz w:w="15840" w:h="12240" w:orient="landscape"/>
      <w:pgMar w:top="936" w:right="936" w:bottom="936"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927C8" w14:textId="77777777" w:rsidR="005E4C58" w:rsidRDefault="005E4C58" w:rsidP="00CF4295">
      <w:pPr>
        <w:spacing w:after="0" w:line="240" w:lineRule="auto"/>
      </w:pPr>
      <w:r>
        <w:separator/>
      </w:r>
    </w:p>
  </w:endnote>
  <w:endnote w:type="continuationSeparator" w:id="0">
    <w:p w14:paraId="01FCC0B0" w14:textId="77777777" w:rsidR="005E4C58" w:rsidRDefault="005E4C58" w:rsidP="00CF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94013"/>
      <w:docPartObj>
        <w:docPartGallery w:val="Page Numbers (Bottom of Page)"/>
        <w:docPartUnique/>
      </w:docPartObj>
    </w:sdtPr>
    <w:sdtEndPr>
      <w:rPr>
        <w:noProof/>
      </w:rPr>
    </w:sdtEndPr>
    <w:sdtContent>
      <w:p w14:paraId="05576BFC" w14:textId="77777777" w:rsidR="00293B21" w:rsidRDefault="00293B21">
        <w:pPr>
          <w:pStyle w:val="Footer"/>
          <w:jc w:val="right"/>
        </w:pPr>
        <w:r>
          <w:fldChar w:fldCharType="begin"/>
        </w:r>
        <w:r>
          <w:instrText xml:space="preserve"> PAGE   \* MERGEFORMAT </w:instrText>
        </w:r>
        <w:r>
          <w:fldChar w:fldCharType="separate"/>
        </w:r>
        <w:r w:rsidR="0044607E">
          <w:rPr>
            <w:noProof/>
          </w:rPr>
          <w:t>12</w:t>
        </w:r>
        <w:r>
          <w:rPr>
            <w:noProof/>
          </w:rPr>
          <w:fldChar w:fldCharType="end"/>
        </w:r>
      </w:p>
    </w:sdtContent>
  </w:sdt>
  <w:p w14:paraId="05D66862" w14:textId="77777777" w:rsidR="00293B21" w:rsidRDefault="00293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4E5BA" w14:textId="77777777" w:rsidR="005E4C58" w:rsidRDefault="005E4C58" w:rsidP="00CF4295">
      <w:pPr>
        <w:spacing w:after="0" w:line="240" w:lineRule="auto"/>
      </w:pPr>
      <w:r>
        <w:separator/>
      </w:r>
    </w:p>
  </w:footnote>
  <w:footnote w:type="continuationSeparator" w:id="0">
    <w:p w14:paraId="696D188D" w14:textId="77777777" w:rsidR="005E4C58" w:rsidRDefault="005E4C58" w:rsidP="00CF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31E5"/>
    <w:multiLevelType w:val="hybridMultilevel"/>
    <w:tmpl w:val="162266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CD4D7D"/>
    <w:multiLevelType w:val="hybridMultilevel"/>
    <w:tmpl w:val="DC683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772BD2"/>
    <w:multiLevelType w:val="hybridMultilevel"/>
    <w:tmpl w:val="C2B2A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CE058BD"/>
    <w:multiLevelType w:val="hybridMultilevel"/>
    <w:tmpl w:val="A5508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AED6857"/>
    <w:multiLevelType w:val="hybridMultilevel"/>
    <w:tmpl w:val="5C42E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47A006C9"/>
    <w:multiLevelType w:val="hybridMultilevel"/>
    <w:tmpl w:val="5A32B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27B78F8"/>
    <w:multiLevelType w:val="hybridMultilevel"/>
    <w:tmpl w:val="4F60A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D5831DA"/>
    <w:multiLevelType w:val="hybridMultilevel"/>
    <w:tmpl w:val="84FA0582"/>
    <w:lvl w:ilvl="0" w:tplc="A112D620">
      <w:start w:val="1"/>
      <w:numFmt w:val="bullet"/>
      <w:lvlText w:val=""/>
      <w:lvlJc w:val="left"/>
      <w:pPr>
        <w:tabs>
          <w:tab w:val="num" w:pos="360"/>
        </w:tabs>
        <w:ind w:left="360" w:hanging="360"/>
      </w:pPr>
      <w:rPr>
        <w:rFonts w:ascii="Symbol" w:hAnsi="Symbol" w:hint="default"/>
        <w:color w:val="auto"/>
      </w:rPr>
    </w:lvl>
    <w:lvl w:ilvl="1" w:tplc="E1E80FC4" w:tentative="1">
      <w:start w:val="1"/>
      <w:numFmt w:val="bullet"/>
      <w:lvlText w:val="•"/>
      <w:lvlJc w:val="left"/>
      <w:pPr>
        <w:tabs>
          <w:tab w:val="num" w:pos="1440"/>
        </w:tabs>
        <w:ind w:left="1440" w:hanging="360"/>
      </w:pPr>
      <w:rPr>
        <w:rFonts w:ascii="Times New Roman" w:hAnsi="Times New Roman" w:hint="default"/>
      </w:rPr>
    </w:lvl>
    <w:lvl w:ilvl="2" w:tplc="12D4CD54" w:tentative="1">
      <w:start w:val="1"/>
      <w:numFmt w:val="bullet"/>
      <w:lvlText w:val="•"/>
      <w:lvlJc w:val="left"/>
      <w:pPr>
        <w:tabs>
          <w:tab w:val="num" w:pos="2160"/>
        </w:tabs>
        <w:ind w:left="2160" w:hanging="360"/>
      </w:pPr>
      <w:rPr>
        <w:rFonts w:ascii="Times New Roman" w:hAnsi="Times New Roman" w:hint="default"/>
      </w:rPr>
    </w:lvl>
    <w:lvl w:ilvl="3" w:tplc="AB16E0CE" w:tentative="1">
      <w:start w:val="1"/>
      <w:numFmt w:val="bullet"/>
      <w:lvlText w:val="•"/>
      <w:lvlJc w:val="left"/>
      <w:pPr>
        <w:tabs>
          <w:tab w:val="num" w:pos="2880"/>
        </w:tabs>
        <w:ind w:left="2880" w:hanging="360"/>
      </w:pPr>
      <w:rPr>
        <w:rFonts w:ascii="Times New Roman" w:hAnsi="Times New Roman" w:hint="default"/>
      </w:rPr>
    </w:lvl>
    <w:lvl w:ilvl="4" w:tplc="BE0090AC" w:tentative="1">
      <w:start w:val="1"/>
      <w:numFmt w:val="bullet"/>
      <w:lvlText w:val="•"/>
      <w:lvlJc w:val="left"/>
      <w:pPr>
        <w:tabs>
          <w:tab w:val="num" w:pos="3600"/>
        </w:tabs>
        <w:ind w:left="3600" w:hanging="360"/>
      </w:pPr>
      <w:rPr>
        <w:rFonts w:ascii="Times New Roman" w:hAnsi="Times New Roman" w:hint="default"/>
      </w:rPr>
    </w:lvl>
    <w:lvl w:ilvl="5" w:tplc="95A69CAA" w:tentative="1">
      <w:start w:val="1"/>
      <w:numFmt w:val="bullet"/>
      <w:lvlText w:val="•"/>
      <w:lvlJc w:val="left"/>
      <w:pPr>
        <w:tabs>
          <w:tab w:val="num" w:pos="4320"/>
        </w:tabs>
        <w:ind w:left="4320" w:hanging="360"/>
      </w:pPr>
      <w:rPr>
        <w:rFonts w:ascii="Times New Roman" w:hAnsi="Times New Roman" w:hint="default"/>
      </w:rPr>
    </w:lvl>
    <w:lvl w:ilvl="6" w:tplc="91B2CB54" w:tentative="1">
      <w:start w:val="1"/>
      <w:numFmt w:val="bullet"/>
      <w:lvlText w:val="•"/>
      <w:lvlJc w:val="left"/>
      <w:pPr>
        <w:tabs>
          <w:tab w:val="num" w:pos="5040"/>
        </w:tabs>
        <w:ind w:left="5040" w:hanging="360"/>
      </w:pPr>
      <w:rPr>
        <w:rFonts w:ascii="Times New Roman" w:hAnsi="Times New Roman" w:hint="default"/>
      </w:rPr>
    </w:lvl>
    <w:lvl w:ilvl="7" w:tplc="DD408C58" w:tentative="1">
      <w:start w:val="1"/>
      <w:numFmt w:val="bullet"/>
      <w:lvlText w:val="•"/>
      <w:lvlJc w:val="left"/>
      <w:pPr>
        <w:tabs>
          <w:tab w:val="num" w:pos="5760"/>
        </w:tabs>
        <w:ind w:left="5760" w:hanging="360"/>
      </w:pPr>
      <w:rPr>
        <w:rFonts w:ascii="Times New Roman" w:hAnsi="Times New Roman" w:hint="default"/>
      </w:rPr>
    </w:lvl>
    <w:lvl w:ilvl="8" w:tplc="AE1E35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16771E"/>
    <w:multiLevelType w:val="hybridMultilevel"/>
    <w:tmpl w:val="0C463438"/>
    <w:lvl w:ilvl="0" w:tplc="B62C2C10">
      <w:start w:val="1"/>
      <w:numFmt w:val="bullet"/>
      <w:lvlText w:val=""/>
      <w:lvlJc w:val="left"/>
      <w:pPr>
        <w:tabs>
          <w:tab w:val="num" w:pos="360"/>
        </w:tabs>
        <w:ind w:left="142" w:hanging="1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65F2A"/>
    <w:multiLevelType w:val="hybridMultilevel"/>
    <w:tmpl w:val="156E6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8"/>
  </w:num>
  <w:num w:numId="6">
    <w:abstractNumId w:val="1"/>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E"/>
    <w:rsid w:val="000013E9"/>
    <w:rsid w:val="00026A30"/>
    <w:rsid w:val="00037B6D"/>
    <w:rsid w:val="000573EB"/>
    <w:rsid w:val="000A123D"/>
    <w:rsid w:val="00130356"/>
    <w:rsid w:val="001345EB"/>
    <w:rsid w:val="00135867"/>
    <w:rsid w:val="00146C5A"/>
    <w:rsid w:val="00180928"/>
    <w:rsid w:val="001A2BD9"/>
    <w:rsid w:val="001A69BE"/>
    <w:rsid w:val="001C79D7"/>
    <w:rsid w:val="001E3936"/>
    <w:rsid w:val="001E60DB"/>
    <w:rsid w:val="002054AD"/>
    <w:rsid w:val="00225690"/>
    <w:rsid w:val="00293B21"/>
    <w:rsid w:val="002B00C5"/>
    <w:rsid w:val="00323113"/>
    <w:rsid w:val="0033538D"/>
    <w:rsid w:val="00340394"/>
    <w:rsid w:val="0034476F"/>
    <w:rsid w:val="00347FE5"/>
    <w:rsid w:val="00354FC0"/>
    <w:rsid w:val="00382581"/>
    <w:rsid w:val="00420B99"/>
    <w:rsid w:val="00421269"/>
    <w:rsid w:val="0043295D"/>
    <w:rsid w:val="0044607E"/>
    <w:rsid w:val="00490E48"/>
    <w:rsid w:val="004C3A0B"/>
    <w:rsid w:val="004C5EAB"/>
    <w:rsid w:val="0050509F"/>
    <w:rsid w:val="005153CD"/>
    <w:rsid w:val="00576DD5"/>
    <w:rsid w:val="005A6912"/>
    <w:rsid w:val="005B1C9A"/>
    <w:rsid w:val="005C4128"/>
    <w:rsid w:val="005C47AF"/>
    <w:rsid w:val="005E4C58"/>
    <w:rsid w:val="005F5B3B"/>
    <w:rsid w:val="00641BE7"/>
    <w:rsid w:val="00672137"/>
    <w:rsid w:val="00684D0C"/>
    <w:rsid w:val="0068709A"/>
    <w:rsid w:val="006B727F"/>
    <w:rsid w:val="006D0BD5"/>
    <w:rsid w:val="006E5D24"/>
    <w:rsid w:val="006F1567"/>
    <w:rsid w:val="00733921"/>
    <w:rsid w:val="00755254"/>
    <w:rsid w:val="007879C6"/>
    <w:rsid w:val="007C283E"/>
    <w:rsid w:val="007F3DA8"/>
    <w:rsid w:val="007F5814"/>
    <w:rsid w:val="00800FC8"/>
    <w:rsid w:val="008162EB"/>
    <w:rsid w:val="0084120E"/>
    <w:rsid w:val="008D4003"/>
    <w:rsid w:val="008D574E"/>
    <w:rsid w:val="008E561F"/>
    <w:rsid w:val="008E7516"/>
    <w:rsid w:val="008F626F"/>
    <w:rsid w:val="009555EA"/>
    <w:rsid w:val="00957C35"/>
    <w:rsid w:val="0097434D"/>
    <w:rsid w:val="00976CE4"/>
    <w:rsid w:val="00996744"/>
    <w:rsid w:val="009A29BB"/>
    <w:rsid w:val="009D271B"/>
    <w:rsid w:val="009D6347"/>
    <w:rsid w:val="00A55588"/>
    <w:rsid w:val="00A959D2"/>
    <w:rsid w:val="00AC61E2"/>
    <w:rsid w:val="00AD5085"/>
    <w:rsid w:val="00B00909"/>
    <w:rsid w:val="00B20FD2"/>
    <w:rsid w:val="00B55169"/>
    <w:rsid w:val="00B6289C"/>
    <w:rsid w:val="00B847C1"/>
    <w:rsid w:val="00BA5EAA"/>
    <w:rsid w:val="00BD016D"/>
    <w:rsid w:val="00BD0179"/>
    <w:rsid w:val="00BF3AFD"/>
    <w:rsid w:val="00BF4CE1"/>
    <w:rsid w:val="00C00983"/>
    <w:rsid w:val="00C0769C"/>
    <w:rsid w:val="00C50952"/>
    <w:rsid w:val="00C527A9"/>
    <w:rsid w:val="00C90207"/>
    <w:rsid w:val="00CA2E28"/>
    <w:rsid w:val="00CB2512"/>
    <w:rsid w:val="00CB786E"/>
    <w:rsid w:val="00CF4295"/>
    <w:rsid w:val="00D017DF"/>
    <w:rsid w:val="00D12A57"/>
    <w:rsid w:val="00D17DC4"/>
    <w:rsid w:val="00D23768"/>
    <w:rsid w:val="00D26399"/>
    <w:rsid w:val="00D302FE"/>
    <w:rsid w:val="00D63ADC"/>
    <w:rsid w:val="00DD606D"/>
    <w:rsid w:val="00DE2FB4"/>
    <w:rsid w:val="00E24B37"/>
    <w:rsid w:val="00E36077"/>
    <w:rsid w:val="00E67FD6"/>
    <w:rsid w:val="00EB6A8B"/>
    <w:rsid w:val="00EC327C"/>
    <w:rsid w:val="00EC4BC8"/>
    <w:rsid w:val="00EE0054"/>
    <w:rsid w:val="00EF0757"/>
    <w:rsid w:val="00F016A9"/>
    <w:rsid w:val="00F201C4"/>
    <w:rsid w:val="00F34DBE"/>
    <w:rsid w:val="00F404B9"/>
    <w:rsid w:val="00F70A28"/>
    <w:rsid w:val="00FB730A"/>
    <w:rsid w:val="00FC1FA6"/>
    <w:rsid w:val="00FE6C1E"/>
    <w:rsid w:val="00FF16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3E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09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CB25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52"/>
    <w:rPr>
      <w:rFonts w:ascii="Tahoma" w:hAnsi="Tahoma" w:cs="Tahoma"/>
      <w:sz w:val="16"/>
      <w:szCs w:val="16"/>
    </w:rPr>
  </w:style>
  <w:style w:type="character" w:customStyle="1" w:styleId="Heading1Char">
    <w:name w:val="Heading 1 Char"/>
    <w:basedOn w:val="DefaultParagraphFont"/>
    <w:link w:val="Heading1"/>
    <w:uiPriority w:val="9"/>
    <w:rsid w:val="00C50952"/>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CF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95"/>
  </w:style>
  <w:style w:type="paragraph" w:styleId="Footer">
    <w:name w:val="footer"/>
    <w:basedOn w:val="Normal"/>
    <w:link w:val="FooterChar"/>
    <w:uiPriority w:val="99"/>
    <w:unhideWhenUsed/>
    <w:rsid w:val="00CF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95"/>
  </w:style>
  <w:style w:type="paragraph" w:styleId="ListParagraph">
    <w:name w:val="List Paragraph"/>
    <w:basedOn w:val="Normal"/>
    <w:uiPriority w:val="34"/>
    <w:qFormat/>
    <w:rsid w:val="00996744"/>
    <w:pPr>
      <w:ind w:left="720"/>
      <w:contextualSpacing/>
    </w:pPr>
  </w:style>
  <w:style w:type="character" w:styleId="Hyperlink">
    <w:name w:val="Hyperlink"/>
    <w:basedOn w:val="DefaultParagraphFont"/>
    <w:uiPriority w:val="99"/>
    <w:unhideWhenUsed/>
    <w:rsid w:val="00F201C4"/>
    <w:rPr>
      <w:color w:val="0000FF" w:themeColor="hyperlink"/>
      <w:u w:val="single"/>
    </w:rPr>
  </w:style>
  <w:style w:type="table" w:styleId="TableGrid">
    <w:name w:val="Table Grid"/>
    <w:basedOn w:val="TableNormal"/>
    <w:uiPriority w:val="59"/>
    <w:rsid w:val="00FC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626F"/>
  </w:style>
  <w:style w:type="character" w:styleId="CommentReference">
    <w:name w:val="annotation reference"/>
    <w:basedOn w:val="DefaultParagraphFont"/>
    <w:uiPriority w:val="99"/>
    <w:semiHidden/>
    <w:unhideWhenUsed/>
    <w:rsid w:val="00FF1668"/>
    <w:rPr>
      <w:sz w:val="18"/>
      <w:szCs w:val="18"/>
    </w:rPr>
  </w:style>
  <w:style w:type="paragraph" w:styleId="CommentText">
    <w:name w:val="annotation text"/>
    <w:basedOn w:val="Normal"/>
    <w:link w:val="CommentTextChar"/>
    <w:uiPriority w:val="99"/>
    <w:semiHidden/>
    <w:unhideWhenUsed/>
    <w:rsid w:val="00FF1668"/>
    <w:pPr>
      <w:spacing w:line="240" w:lineRule="auto"/>
    </w:pPr>
    <w:rPr>
      <w:sz w:val="24"/>
      <w:szCs w:val="24"/>
    </w:rPr>
  </w:style>
  <w:style w:type="character" w:customStyle="1" w:styleId="CommentTextChar">
    <w:name w:val="Comment Text Char"/>
    <w:basedOn w:val="DefaultParagraphFont"/>
    <w:link w:val="CommentText"/>
    <w:uiPriority w:val="99"/>
    <w:semiHidden/>
    <w:rsid w:val="00FF1668"/>
    <w:rPr>
      <w:sz w:val="24"/>
      <w:szCs w:val="24"/>
    </w:rPr>
  </w:style>
  <w:style w:type="paragraph" w:styleId="CommentSubject">
    <w:name w:val="annotation subject"/>
    <w:basedOn w:val="CommentText"/>
    <w:next w:val="CommentText"/>
    <w:link w:val="CommentSubjectChar"/>
    <w:uiPriority w:val="99"/>
    <w:semiHidden/>
    <w:unhideWhenUsed/>
    <w:rsid w:val="00FF1668"/>
    <w:rPr>
      <w:b/>
      <w:bCs/>
      <w:sz w:val="20"/>
      <w:szCs w:val="20"/>
    </w:rPr>
  </w:style>
  <w:style w:type="character" w:customStyle="1" w:styleId="CommentSubjectChar">
    <w:name w:val="Comment Subject Char"/>
    <w:basedOn w:val="CommentTextChar"/>
    <w:link w:val="CommentSubject"/>
    <w:uiPriority w:val="99"/>
    <w:semiHidden/>
    <w:rsid w:val="00FF1668"/>
    <w:rPr>
      <w:b/>
      <w:bCs/>
      <w:sz w:val="20"/>
      <w:szCs w:val="20"/>
    </w:rPr>
  </w:style>
  <w:style w:type="character" w:customStyle="1" w:styleId="bold">
    <w:name w:val="bold"/>
    <w:basedOn w:val="DefaultParagraphFont"/>
    <w:rsid w:val="00F70A28"/>
  </w:style>
  <w:style w:type="character" w:styleId="FollowedHyperlink">
    <w:name w:val="FollowedHyperlink"/>
    <w:basedOn w:val="DefaultParagraphFont"/>
    <w:uiPriority w:val="99"/>
    <w:semiHidden/>
    <w:unhideWhenUsed/>
    <w:rsid w:val="005C4128"/>
    <w:rPr>
      <w:color w:val="800080" w:themeColor="followedHyperlink"/>
      <w:u w:val="single"/>
    </w:rPr>
  </w:style>
  <w:style w:type="paragraph" w:customStyle="1" w:styleId="Bullet1">
    <w:name w:val="Bullet 1"/>
    <w:basedOn w:val="Normal"/>
    <w:uiPriority w:val="99"/>
    <w:rsid w:val="00BD01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efaultText">
    <w:name w:val="Default Text"/>
    <w:basedOn w:val="Normal"/>
    <w:uiPriority w:val="99"/>
    <w:rsid w:val="00BD01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CB2512"/>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rsid w:val="00CB2512"/>
    <w:pPr>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90"/>
      </w:tabs>
      <w:spacing w:after="0" w:line="240" w:lineRule="auto"/>
      <w:jc w:val="both"/>
    </w:pPr>
    <w:rPr>
      <w:rFonts w:ascii="Times New Roman" w:eastAsia="Times New Roman" w:hAnsi="Times New Roman" w:cs="Times New Roman"/>
      <w:b/>
      <w:sz w:val="24"/>
      <w:szCs w:val="20"/>
      <w:lang w:val="en-GB"/>
    </w:rPr>
  </w:style>
  <w:style w:type="character" w:customStyle="1" w:styleId="BodyTextChar">
    <w:name w:val="Body Text Char"/>
    <w:basedOn w:val="DefaultParagraphFont"/>
    <w:link w:val="BodyText"/>
    <w:uiPriority w:val="99"/>
    <w:rsid w:val="00CB2512"/>
    <w:rPr>
      <w:rFonts w:ascii="Times New Roman" w:eastAsia="Times New Roman" w:hAnsi="Times New Roman" w:cs="Times New Roman"/>
      <w:b/>
      <w:sz w:val="24"/>
      <w:szCs w:val="20"/>
      <w:lang w:val="en-GB"/>
    </w:rPr>
  </w:style>
  <w:style w:type="character" w:customStyle="1" w:styleId="bylinepipe1">
    <w:name w:val="bylinepipe1"/>
    <w:basedOn w:val="DefaultParagraphFont"/>
    <w:rsid w:val="00CB2512"/>
    <w:rPr>
      <w:color w:val="666666"/>
    </w:rPr>
  </w:style>
  <w:style w:type="character" w:customStyle="1" w:styleId="exldetailsdisplayval">
    <w:name w:val="exldetailsdisplayval"/>
    <w:basedOn w:val="DefaultParagraphFont"/>
    <w:rsid w:val="00CB2512"/>
  </w:style>
  <w:style w:type="character" w:customStyle="1" w:styleId="hlfld-contribauthor">
    <w:name w:val="hlfld-contribauthor"/>
    <w:basedOn w:val="DefaultParagraphFont"/>
    <w:rsid w:val="00CB2512"/>
  </w:style>
  <w:style w:type="character" w:customStyle="1" w:styleId="nlmgiven-names">
    <w:name w:val="nlm_given-names"/>
    <w:basedOn w:val="DefaultParagraphFont"/>
    <w:rsid w:val="00CB2512"/>
  </w:style>
  <w:style w:type="character" w:customStyle="1" w:styleId="nlmyear">
    <w:name w:val="nlm_year"/>
    <w:basedOn w:val="DefaultParagraphFont"/>
    <w:rsid w:val="00CB2512"/>
  </w:style>
  <w:style w:type="character" w:customStyle="1" w:styleId="nlmarticle-title">
    <w:name w:val="nlm_article-title"/>
    <w:basedOn w:val="DefaultParagraphFont"/>
    <w:rsid w:val="00CB2512"/>
  </w:style>
  <w:style w:type="character" w:customStyle="1" w:styleId="nlmfpage">
    <w:name w:val="nlm_fpage"/>
    <w:basedOn w:val="DefaultParagraphFont"/>
    <w:rsid w:val="00CB2512"/>
  </w:style>
  <w:style w:type="character" w:customStyle="1" w:styleId="nlmlpage">
    <w:name w:val="nlm_lpage"/>
    <w:basedOn w:val="DefaultParagraphFont"/>
    <w:rsid w:val="00CB2512"/>
  </w:style>
  <w:style w:type="character" w:customStyle="1" w:styleId="titlepart">
    <w:name w:val="titlepart"/>
    <w:basedOn w:val="DefaultParagraphFont"/>
    <w:rsid w:val="00CB2512"/>
  </w:style>
  <w:style w:type="character" w:customStyle="1" w:styleId="availabilityicon">
    <w:name w:val="availabilityicon"/>
    <w:basedOn w:val="DefaultParagraphFont"/>
    <w:rsid w:val="00CB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4283">
      <w:bodyDiv w:val="1"/>
      <w:marLeft w:val="0"/>
      <w:marRight w:val="0"/>
      <w:marTop w:val="0"/>
      <w:marBottom w:val="0"/>
      <w:divBdr>
        <w:top w:val="none" w:sz="0" w:space="0" w:color="auto"/>
        <w:left w:val="none" w:sz="0" w:space="0" w:color="auto"/>
        <w:bottom w:val="none" w:sz="0" w:space="0" w:color="auto"/>
        <w:right w:val="none" w:sz="0" w:space="0" w:color="auto"/>
      </w:divBdr>
      <w:divsChild>
        <w:div w:id="301815560">
          <w:marLeft w:val="0"/>
          <w:marRight w:val="0"/>
          <w:marTop w:val="0"/>
          <w:marBottom w:val="0"/>
          <w:divBdr>
            <w:top w:val="none" w:sz="0" w:space="0" w:color="auto"/>
            <w:left w:val="none" w:sz="0" w:space="0" w:color="auto"/>
            <w:bottom w:val="none" w:sz="0" w:space="0" w:color="auto"/>
            <w:right w:val="none" w:sz="0" w:space="0" w:color="auto"/>
          </w:divBdr>
        </w:div>
        <w:div w:id="1664431413">
          <w:marLeft w:val="0"/>
          <w:marRight w:val="0"/>
          <w:marTop w:val="0"/>
          <w:marBottom w:val="0"/>
          <w:divBdr>
            <w:top w:val="none" w:sz="0" w:space="0" w:color="auto"/>
            <w:left w:val="none" w:sz="0" w:space="0" w:color="auto"/>
            <w:bottom w:val="none" w:sz="0" w:space="0" w:color="auto"/>
            <w:right w:val="none" w:sz="0" w:space="0" w:color="auto"/>
          </w:divBdr>
        </w:div>
        <w:div w:id="1478916846">
          <w:marLeft w:val="0"/>
          <w:marRight w:val="0"/>
          <w:marTop w:val="0"/>
          <w:marBottom w:val="0"/>
          <w:divBdr>
            <w:top w:val="none" w:sz="0" w:space="0" w:color="auto"/>
            <w:left w:val="none" w:sz="0" w:space="0" w:color="auto"/>
            <w:bottom w:val="none" w:sz="0" w:space="0" w:color="auto"/>
            <w:right w:val="none" w:sz="0" w:space="0" w:color="auto"/>
          </w:divBdr>
        </w:div>
        <w:div w:id="920215409">
          <w:marLeft w:val="0"/>
          <w:marRight w:val="0"/>
          <w:marTop w:val="0"/>
          <w:marBottom w:val="0"/>
          <w:divBdr>
            <w:top w:val="none" w:sz="0" w:space="0" w:color="auto"/>
            <w:left w:val="none" w:sz="0" w:space="0" w:color="auto"/>
            <w:bottom w:val="none" w:sz="0" w:space="0" w:color="auto"/>
            <w:right w:val="none" w:sz="0" w:space="0" w:color="auto"/>
          </w:divBdr>
        </w:div>
        <w:div w:id="167604081">
          <w:marLeft w:val="0"/>
          <w:marRight w:val="0"/>
          <w:marTop w:val="0"/>
          <w:marBottom w:val="0"/>
          <w:divBdr>
            <w:top w:val="none" w:sz="0" w:space="0" w:color="auto"/>
            <w:left w:val="none" w:sz="0" w:space="0" w:color="auto"/>
            <w:bottom w:val="none" w:sz="0" w:space="0" w:color="auto"/>
            <w:right w:val="none" w:sz="0" w:space="0" w:color="auto"/>
          </w:divBdr>
        </w:div>
        <w:div w:id="1832133605">
          <w:marLeft w:val="0"/>
          <w:marRight w:val="0"/>
          <w:marTop w:val="0"/>
          <w:marBottom w:val="0"/>
          <w:divBdr>
            <w:top w:val="none" w:sz="0" w:space="0" w:color="auto"/>
            <w:left w:val="none" w:sz="0" w:space="0" w:color="auto"/>
            <w:bottom w:val="none" w:sz="0" w:space="0" w:color="auto"/>
            <w:right w:val="none" w:sz="0" w:space="0" w:color="auto"/>
          </w:divBdr>
        </w:div>
        <w:div w:id="606162289">
          <w:marLeft w:val="0"/>
          <w:marRight w:val="0"/>
          <w:marTop w:val="0"/>
          <w:marBottom w:val="0"/>
          <w:divBdr>
            <w:top w:val="none" w:sz="0" w:space="0" w:color="auto"/>
            <w:left w:val="none" w:sz="0" w:space="0" w:color="auto"/>
            <w:bottom w:val="none" w:sz="0" w:space="0" w:color="auto"/>
            <w:right w:val="none" w:sz="0" w:space="0" w:color="auto"/>
          </w:divBdr>
        </w:div>
        <w:div w:id="2079934305">
          <w:marLeft w:val="0"/>
          <w:marRight w:val="0"/>
          <w:marTop w:val="0"/>
          <w:marBottom w:val="0"/>
          <w:divBdr>
            <w:top w:val="none" w:sz="0" w:space="0" w:color="auto"/>
            <w:left w:val="none" w:sz="0" w:space="0" w:color="auto"/>
            <w:bottom w:val="none" w:sz="0" w:space="0" w:color="auto"/>
            <w:right w:val="none" w:sz="0" w:space="0" w:color="auto"/>
          </w:divBdr>
        </w:div>
        <w:div w:id="2050832147">
          <w:marLeft w:val="0"/>
          <w:marRight w:val="0"/>
          <w:marTop w:val="0"/>
          <w:marBottom w:val="0"/>
          <w:divBdr>
            <w:top w:val="none" w:sz="0" w:space="0" w:color="auto"/>
            <w:left w:val="none" w:sz="0" w:space="0" w:color="auto"/>
            <w:bottom w:val="none" w:sz="0" w:space="0" w:color="auto"/>
            <w:right w:val="none" w:sz="0" w:space="0" w:color="auto"/>
          </w:divBdr>
        </w:div>
        <w:div w:id="150393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brary.auckland.ac.nz/services/student-learning/ele/language-learning-grou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brary.auckland.ac.nz/services/student-learning/ele/language-ad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auckland.ac.nz/student-learing/" TargetMode="External"/><Relationship Id="rId5" Type="http://schemas.openxmlformats.org/officeDocument/2006/relationships/footnotes" Target="footnotes.xml"/><Relationship Id="rId15" Type="http://schemas.openxmlformats.org/officeDocument/2006/relationships/hyperlink" Target="http://www.oxfordhandbooks.com.ezproxy.auckland.ac.nz/view/10.1093/oxfordhb/9780199569069.001.0001/oxfordhb-9780199569069" TargetMode="External"/><Relationship Id="rId10" Type="http://schemas.openxmlformats.org/officeDocument/2006/relationships/hyperlink" Target="http://www.yorkosteoarch.co.uk/guide.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talogue.library.auckland.ac.nz/primo-explore/fulldisplay?docid=TN_scopus2-s2.0-85043491270&amp;context=PC&amp;vid=NEWUI&amp;lang=en_US&amp;search_scope=Primo_Central&amp;adaptor=primo_central_multiple_fe&amp;tab=articles&amp;query=any,contains,bioarchaeology%20and%20inequality&amp;sortby=rank&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14</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Wade</dc:creator>
  <cp:lastModifiedBy>Judith Littleton</cp:lastModifiedBy>
  <cp:revision>5</cp:revision>
  <cp:lastPrinted>2017-06-07T23:35:00Z</cp:lastPrinted>
  <dcterms:created xsi:type="dcterms:W3CDTF">2018-06-11T23:24:00Z</dcterms:created>
  <dcterms:modified xsi:type="dcterms:W3CDTF">2018-06-12T02:50:00Z</dcterms:modified>
</cp:coreProperties>
</file>