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C82" w:rsidRDefault="009E7C82" w:rsidP="009E7C82">
      <w:pPr>
        <w:jc w:val="both"/>
        <w:rPr>
          <w:rFonts w:ascii="Calibri" w:hAnsi="Calibri"/>
          <w:b/>
          <w:sz w:val="24"/>
          <w:szCs w:val="24"/>
        </w:rPr>
      </w:pPr>
      <w:proofErr w:type="spellStart"/>
      <w:r>
        <w:rPr>
          <w:rFonts w:ascii="Calibri" w:hAnsi="Calibri"/>
          <w:b/>
          <w:sz w:val="24"/>
          <w:szCs w:val="24"/>
        </w:rPr>
        <w:t>Langtchg</w:t>
      </w:r>
      <w:proofErr w:type="spellEnd"/>
      <w:r>
        <w:rPr>
          <w:rFonts w:ascii="Calibri" w:hAnsi="Calibri"/>
          <w:b/>
          <w:sz w:val="24"/>
          <w:szCs w:val="24"/>
        </w:rPr>
        <w:t xml:space="preserve"> 7</w:t>
      </w:r>
      <w:r w:rsidR="005A1D23">
        <w:rPr>
          <w:rFonts w:ascii="Calibri" w:hAnsi="Calibri"/>
          <w:b/>
          <w:sz w:val="24"/>
          <w:szCs w:val="24"/>
        </w:rPr>
        <w:t xml:space="preserve">63 </w:t>
      </w:r>
      <w:r>
        <w:rPr>
          <w:rFonts w:ascii="Calibri" w:hAnsi="Calibri"/>
          <w:b/>
          <w:sz w:val="24"/>
          <w:szCs w:val="24"/>
        </w:rPr>
        <w:t>Discourse Analysis and Language Teaching</w:t>
      </w:r>
    </w:p>
    <w:p w:rsidR="009E7C82" w:rsidRDefault="009E7C82" w:rsidP="009E7C82">
      <w:pPr>
        <w:jc w:val="both"/>
        <w:rPr>
          <w:rFonts w:ascii="Calibri" w:hAnsi="Calibri"/>
          <w:b/>
          <w:sz w:val="24"/>
          <w:szCs w:val="24"/>
        </w:rPr>
      </w:pPr>
      <w:r>
        <w:rPr>
          <w:rFonts w:ascii="Calibri" w:hAnsi="Calibri"/>
          <w:b/>
          <w:sz w:val="24"/>
          <w:szCs w:val="24"/>
        </w:rPr>
        <w:t xml:space="preserve">Semester </w:t>
      </w:r>
      <w:r w:rsidR="0010322C">
        <w:rPr>
          <w:rFonts w:ascii="Calibri" w:hAnsi="Calibri"/>
          <w:b/>
          <w:sz w:val="24"/>
          <w:szCs w:val="24"/>
        </w:rPr>
        <w:t>2</w:t>
      </w:r>
      <w:r>
        <w:rPr>
          <w:rFonts w:ascii="Calibri" w:hAnsi="Calibri"/>
          <w:b/>
          <w:sz w:val="24"/>
          <w:szCs w:val="24"/>
        </w:rPr>
        <w:t>, 20</w:t>
      </w:r>
      <w:r w:rsidR="006320D8">
        <w:rPr>
          <w:rFonts w:ascii="Calibri" w:hAnsi="Calibri"/>
          <w:b/>
          <w:sz w:val="24"/>
          <w:szCs w:val="24"/>
        </w:rPr>
        <w:t xml:space="preserve">20 </w:t>
      </w:r>
    </w:p>
    <w:p w:rsidR="006320D8" w:rsidRDefault="006320D8" w:rsidP="009E7C82">
      <w:pPr>
        <w:jc w:val="both"/>
        <w:rPr>
          <w:rFonts w:ascii="Calibri" w:hAnsi="Calibri"/>
          <w:sz w:val="24"/>
          <w:szCs w:val="24"/>
        </w:rPr>
      </w:pPr>
    </w:p>
    <w:p w:rsidR="009E7C82" w:rsidRDefault="009E7C82" w:rsidP="009E7C82">
      <w:pPr>
        <w:jc w:val="both"/>
        <w:rPr>
          <w:rFonts w:ascii="Calibri" w:hAnsi="Calibri"/>
          <w:sz w:val="24"/>
          <w:szCs w:val="24"/>
        </w:rPr>
      </w:pPr>
      <w:r>
        <w:rPr>
          <w:rFonts w:ascii="Calibri" w:hAnsi="Calibri"/>
          <w:sz w:val="24"/>
          <w:szCs w:val="24"/>
        </w:rPr>
        <w:t xml:space="preserve">Class: </w:t>
      </w:r>
      <w:r>
        <w:rPr>
          <w:rFonts w:ascii="Calibri" w:hAnsi="Calibri"/>
          <w:sz w:val="24"/>
          <w:szCs w:val="24"/>
        </w:rPr>
        <w:tab/>
      </w:r>
      <w:r>
        <w:rPr>
          <w:rFonts w:ascii="Calibri" w:hAnsi="Calibri"/>
          <w:sz w:val="24"/>
          <w:szCs w:val="24"/>
        </w:rPr>
        <w:tab/>
      </w:r>
      <w:r>
        <w:rPr>
          <w:rFonts w:ascii="Calibri" w:hAnsi="Calibri"/>
          <w:sz w:val="24"/>
          <w:szCs w:val="24"/>
        </w:rPr>
        <w:tab/>
      </w:r>
      <w:r w:rsidR="0010322C">
        <w:rPr>
          <w:rFonts w:ascii="Calibri" w:hAnsi="Calibri"/>
          <w:sz w:val="24"/>
          <w:szCs w:val="24"/>
        </w:rPr>
        <w:t>Tuesday 4</w:t>
      </w:r>
      <w:r w:rsidR="006320D8">
        <w:rPr>
          <w:rFonts w:ascii="Calibri" w:hAnsi="Calibri"/>
          <w:sz w:val="24"/>
          <w:szCs w:val="24"/>
        </w:rPr>
        <w:t>-6 pm</w:t>
      </w:r>
      <w:r w:rsidR="0010322C">
        <w:rPr>
          <w:rFonts w:ascii="Calibri" w:hAnsi="Calibri"/>
          <w:sz w:val="24"/>
          <w:szCs w:val="24"/>
        </w:rPr>
        <w:t xml:space="preserve">  </w:t>
      </w:r>
      <w:r>
        <w:rPr>
          <w:rFonts w:ascii="Calibri" w:hAnsi="Calibri"/>
          <w:sz w:val="24"/>
          <w:szCs w:val="24"/>
        </w:rPr>
        <w:t xml:space="preserve">  </w:t>
      </w:r>
    </w:p>
    <w:p w:rsidR="009E7C82" w:rsidRDefault="009E7C82" w:rsidP="009E7C82">
      <w:pPr>
        <w:jc w:val="both"/>
        <w:rPr>
          <w:rFonts w:ascii="Calibri" w:hAnsi="Calibri"/>
          <w:sz w:val="24"/>
          <w:szCs w:val="24"/>
        </w:rPr>
      </w:pPr>
    </w:p>
    <w:p w:rsidR="009E7C82" w:rsidRDefault="009E7C82" w:rsidP="009E7C82">
      <w:pPr>
        <w:jc w:val="both"/>
        <w:rPr>
          <w:rFonts w:ascii="Calibri" w:hAnsi="Calibri"/>
          <w:sz w:val="24"/>
          <w:szCs w:val="24"/>
        </w:rPr>
      </w:pPr>
      <w:r>
        <w:rPr>
          <w:rFonts w:ascii="Calibri" w:hAnsi="Calibri"/>
          <w:sz w:val="24"/>
          <w:szCs w:val="24"/>
        </w:rPr>
        <w:t xml:space="preserve">Course convenor </w:t>
      </w:r>
      <w:r>
        <w:rPr>
          <w:rFonts w:ascii="Calibri" w:hAnsi="Calibri"/>
          <w:sz w:val="24"/>
          <w:szCs w:val="24"/>
        </w:rPr>
        <w:tab/>
        <w:t xml:space="preserve">Associate Professor Helen Basturkmen </w:t>
      </w:r>
    </w:p>
    <w:p w:rsidR="009E7C82" w:rsidRDefault="009E7C82" w:rsidP="009E7C82">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p>
    <w:p w:rsidR="009E7C82" w:rsidRDefault="009E7C82" w:rsidP="009E7C82">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Phone: 84965 Email: </w:t>
      </w:r>
      <w:hyperlink r:id="rId5" w:history="1">
        <w:r>
          <w:rPr>
            <w:rStyle w:val="Hyperlink"/>
            <w:rFonts w:ascii="Calibri" w:hAnsi="Calibri"/>
            <w:sz w:val="24"/>
            <w:szCs w:val="24"/>
          </w:rPr>
          <w:t>h.basturkmen@auckland.ac.nz</w:t>
        </w:r>
      </w:hyperlink>
    </w:p>
    <w:p w:rsidR="009E7C82" w:rsidRDefault="009E7C82" w:rsidP="009E7C82">
      <w:pPr>
        <w:jc w:val="both"/>
        <w:rPr>
          <w:rFonts w:ascii="Calibri" w:hAnsi="Calibri"/>
          <w:sz w:val="24"/>
          <w:szCs w:val="24"/>
        </w:rPr>
      </w:pPr>
    </w:p>
    <w:p w:rsidR="009E7C82" w:rsidRDefault="009E7C82" w:rsidP="009E7C82">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t xml:space="preserve">Office: Arts </w:t>
      </w:r>
      <w:r w:rsidR="005A1D23">
        <w:rPr>
          <w:rFonts w:ascii="Calibri" w:hAnsi="Calibri"/>
          <w:sz w:val="24"/>
          <w:szCs w:val="24"/>
        </w:rPr>
        <w:t>2</w:t>
      </w:r>
      <w:r>
        <w:rPr>
          <w:rFonts w:ascii="Calibri" w:hAnsi="Calibri"/>
          <w:sz w:val="24"/>
          <w:szCs w:val="24"/>
        </w:rPr>
        <w:t xml:space="preserve">, Room </w:t>
      </w:r>
      <w:r w:rsidR="0010322C">
        <w:rPr>
          <w:rFonts w:ascii="Calibri" w:hAnsi="Calibri"/>
          <w:sz w:val="24"/>
          <w:szCs w:val="24"/>
        </w:rPr>
        <w:t>510</w:t>
      </w:r>
    </w:p>
    <w:p w:rsidR="009E7C82" w:rsidRDefault="009E7C82" w:rsidP="009E7C82">
      <w:pPr>
        <w:rPr>
          <w:rFonts w:ascii="Calibri" w:hAnsi="Calibri"/>
          <w:b/>
          <w:sz w:val="24"/>
          <w:szCs w:val="24"/>
        </w:rPr>
      </w:pPr>
    </w:p>
    <w:p w:rsidR="009E7C82" w:rsidRDefault="009E7C82" w:rsidP="009E7C82">
      <w:pPr>
        <w:rPr>
          <w:rFonts w:ascii="Calibri" w:hAnsi="Calibri"/>
          <w:b/>
          <w:sz w:val="24"/>
          <w:szCs w:val="24"/>
        </w:rPr>
      </w:pPr>
    </w:p>
    <w:p w:rsidR="009E7C82" w:rsidRDefault="009E7C82" w:rsidP="009E7C82">
      <w:pPr>
        <w:rPr>
          <w:rFonts w:ascii="Calibri" w:hAnsi="Calibri"/>
          <w:b/>
          <w:sz w:val="24"/>
          <w:szCs w:val="24"/>
        </w:rPr>
      </w:pPr>
      <w:r>
        <w:rPr>
          <w:rFonts w:ascii="Calibri" w:hAnsi="Calibri"/>
          <w:b/>
          <w:sz w:val="24"/>
          <w:szCs w:val="24"/>
        </w:rPr>
        <w:t>Course aim and outcomes</w:t>
      </w:r>
    </w:p>
    <w:p w:rsidR="009E7C82" w:rsidRDefault="009E7C82" w:rsidP="009E7C82">
      <w:pPr>
        <w:jc w:val="both"/>
        <w:rPr>
          <w:rFonts w:ascii="Calibri" w:hAnsi="Calibri"/>
          <w:sz w:val="24"/>
          <w:szCs w:val="24"/>
        </w:rPr>
      </w:pPr>
    </w:p>
    <w:p w:rsidR="009E7C82" w:rsidRDefault="009E7C82" w:rsidP="009E7C82">
      <w:pPr>
        <w:jc w:val="both"/>
        <w:rPr>
          <w:rFonts w:ascii="Calibri" w:hAnsi="Calibri"/>
          <w:sz w:val="24"/>
          <w:szCs w:val="24"/>
        </w:rPr>
      </w:pPr>
      <w:r>
        <w:rPr>
          <w:rFonts w:ascii="Calibri" w:hAnsi="Calibri"/>
          <w:sz w:val="24"/>
          <w:szCs w:val="24"/>
        </w:rPr>
        <w:t xml:space="preserve">The course aims to help participants develop an understanding of approaches to discourse analysis and apply this understanding in the analysis of texts, and to examine ways to focus on discourse in language teaching. A number of approaches to analysis are introduced and opportunities are provided for participants to analyse spoken and written texts and discuss applications for language teaching. The course focuses in particular on four areas/approaches: pragmatics, cohesion and coherence, genre analysis and critical discourse analysis. </w:t>
      </w:r>
    </w:p>
    <w:p w:rsidR="009E7C82" w:rsidRDefault="009E7C82" w:rsidP="009E7C82">
      <w:pPr>
        <w:rPr>
          <w:rFonts w:ascii="Calibri" w:hAnsi="Calibri"/>
          <w:sz w:val="24"/>
          <w:szCs w:val="24"/>
        </w:rPr>
      </w:pPr>
    </w:p>
    <w:p w:rsidR="009E7C82" w:rsidRDefault="009E7C82" w:rsidP="009E7C82">
      <w:pPr>
        <w:rPr>
          <w:rFonts w:ascii="Calibri" w:hAnsi="Calibri"/>
          <w:sz w:val="24"/>
          <w:szCs w:val="24"/>
        </w:rPr>
      </w:pPr>
      <w:r>
        <w:rPr>
          <w:rFonts w:ascii="Calibri" w:hAnsi="Calibri"/>
          <w:sz w:val="24"/>
          <w:szCs w:val="24"/>
        </w:rPr>
        <w:t>By the end of this course, you should be:</w:t>
      </w:r>
    </w:p>
    <w:p w:rsidR="009E7C82" w:rsidRDefault="009E7C82" w:rsidP="009E7C82">
      <w:pPr>
        <w:rPr>
          <w:rFonts w:ascii="Calibri" w:hAnsi="Calibri"/>
          <w:sz w:val="24"/>
          <w:szCs w:val="24"/>
        </w:rPr>
      </w:pPr>
    </w:p>
    <w:p w:rsidR="009E7C82" w:rsidRDefault="009E7C82" w:rsidP="009E7C82">
      <w:pPr>
        <w:rPr>
          <w:rFonts w:ascii="Calibri" w:hAnsi="Calibri"/>
          <w:sz w:val="24"/>
          <w:szCs w:val="24"/>
        </w:rPr>
      </w:pPr>
      <w:r>
        <w:rPr>
          <w:rFonts w:ascii="Calibri" w:hAnsi="Calibri"/>
          <w:sz w:val="24"/>
          <w:szCs w:val="24"/>
        </w:rPr>
        <w:t xml:space="preserve">1. </w:t>
      </w:r>
      <w:r>
        <w:rPr>
          <w:rFonts w:ascii="Calibri" w:hAnsi="Calibri"/>
          <w:sz w:val="24"/>
          <w:szCs w:val="24"/>
        </w:rPr>
        <w:tab/>
        <w:t>aware of ways in which texts are organised</w:t>
      </w:r>
    </w:p>
    <w:p w:rsidR="009E7C82" w:rsidRDefault="009E7C82" w:rsidP="009E7C82">
      <w:pPr>
        <w:rPr>
          <w:rFonts w:ascii="Calibri" w:hAnsi="Calibri"/>
          <w:sz w:val="24"/>
          <w:szCs w:val="24"/>
        </w:rPr>
      </w:pPr>
      <w:r>
        <w:rPr>
          <w:rFonts w:ascii="Calibri" w:hAnsi="Calibri"/>
          <w:sz w:val="24"/>
          <w:szCs w:val="24"/>
        </w:rPr>
        <w:t>2.</w:t>
      </w:r>
      <w:r>
        <w:rPr>
          <w:rFonts w:ascii="Calibri" w:hAnsi="Calibri"/>
          <w:sz w:val="24"/>
          <w:szCs w:val="24"/>
        </w:rPr>
        <w:tab/>
        <w:t>aware of major approaches to the analysis of discourse</w:t>
      </w:r>
    </w:p>
    <w:p w:rsidR="009E7C82" w:rsidRDefault="009E7C82" w:rsidP="009E7C82">
      <w:pPr>
        <w:ind w:left="720" w:hanging="720"/>
        <w:rPr>
          <w:rFonts w:ascii="Calibri" w:hAnsi="Calibri"/>
          <w:sz w:val="24"/>
          <w:szCs w:val="24"/>
        </w:rPr>
      </w:pPr>
      <w:r>
        <w:rPr>
          <w:rFonts w:ascii="Calibri" w:hAnsi="Calibri"/>
          <w:sz w:val="24"/>
          <w:szCs w:val="24"/>
        </w:rPr>
        <w:t>3.</w:t>
      </w:r>
      <w:r>
        <w:rPr>
          <w:rFonts w:ascii="Calibri" w:hAnsi="Calibri"/>
          <w:sz w:val="24"/>
          <w:szCs w:val="24"/>
        </w:rPr>
        <w:tab/>
        <w:t xml:space="preserve">able to analyse texts using a range of approaches </w:t>
      </w:r>
    </w:p>
    <w:p w:rsidR="009E7C82" w:rsidRDefault="009E7C82" w:rsidP="009E7C82">
      <w:pPr>
        <w:ind w:left="720" w:hanging="720"/>
        <w:jc w:val="both"/>
        <w:rPr>
          <w:rFonts w:ascii="Calibri" w:hAnsi="Calibri"/>
          <w:sz w:val="24"/>
          <w:szCs w:val="24"/>
        </w:rPr>
      </w:pPr>
      <w:r>
        <w:rPr>
          <w:rFonts w:ascii="Calibri" w:hAnsi="Calibri"/>
          <w:sz w:val="24"/>
          <w:szCs w:val="24"/>
        </w:rPr>
        <w:t xml:space="preserve">4. </w:t>
      </w:r>
      <w:r>
        <w:rPr>
          <w:rFonts w:ascii="Calibri" w:hAnsi="Calibri"/>
          <w:sz w:val="24"/>
          <w:szCs w:val="24"/>
        </w:rPr>
        <w:tab/>
        <w:t xml:space="preserve">able to use approaches and findings from discourse analysis in teaching language </w:t>
      </w:r>
    </w:p>
    <w:p w:rsidR="009E7C82" w:rsidRDefault="009E7C82" w:rsidP="009E7C82">
      <w:pPr>
        <w:jc w:val="both"/>
        <w:rPr>
          <w:rFonts w:ascii="Calibri" w:hAnsi="Calibri"/>
          <w:b/>
          <w:sz w:val="24"/>
          <w:szCs w:val="24"/>
        </w:rPr>
      </w:pPr>
    </w:p>
    <w:p w:rsidR="009E7C82" w:rsidRDefault="009E7C82" w:rsidP="009E7C82">
      <w:pPr>
        <w:rPr>
          <w:rFonts w:ascii="Calibri" w:hAnsi="Calibri"/>
          <w:b/>
          <w:sz w:val="24"/>
          <w:szCs w:val="24"/>
        </w:rPr>
      </w:pPr>
      <w:r>
        <w:rPr>
          <w:rFonts w:ascii="Calibri" w:hAnsi="Calibri"/>
          <w:b/>
          <w:sz w:val="24"/>
          <w:szCs w:val="24"/>
        </w:rPr>
        <w:t xml:space="preserve">SET TEXT   </w:t>
      </w:r>
    </w:p>
    <w:p w:rsidR="009E7C82" w:rsidRDefault="009E7C82" w:rsidP="009E7C82">
      <w:pPr>
        <w:rPr>
          <w:rFonts w:ascii="Calibri" w:hAnsi="Calibri"/>
          <w:b/>
          <w:sz w:val="24"/>
          <w:szCs w:val="24"/>
        </w:rPr>
      </w:pPr>
    </w:p>
    <w:p w:rsidR="009E7C82" w:rsidRDefault="009E7C82" w:rsidP="009E7C82">
      <w:pPr>
        <w:rPr>
          <w:rFonts w:ascii="Calibri" w:hAnsi="Calibri"/>
          <w:sz w:val="24"/>
          <w:szCs w:val="24"/>
        </w:rPr>
      </w:pPr>
      <w:r>
        <w:rPr>
          <w:rFonts w:ascii="Calibri" w:hAnsi="Calibri"/>
          <w:sz w:val="24"/>
          <w:szCs w:val="24"/>
        </w:rPr>
        <w:t xml:space="preserve">The set textbook for this course is: </w:t>
      </w:r>
    </w:p>
    <w:p w:rsidR="009E7C82" w:rsidRDefault="009E7C82" w:rsidP="009E7C82">
      <w:pPr>
        <w:rPr>
          <w:rFonts w:ascii="Calibri" w:hAnsi="Calibri"/>
          <w:sz w:val="24"/>
          <w:szCs w:val="24"/>
        </w:rPr>
      </w:pPr>
    </w:p>
    <w:p w:rsidR="009E7C82" w:rsidRDefault="009E7C82" w:rsidP="009E7C82">
      <w:pPr>
        <w:rPr>
          <w:rFonts w:ascii="Calibri" w:hAnsi="Calibri"/>
          <w:sz w:val="24"/>
          <w:szCs w:val="24"/>
        </w:rPr>
      </w:pPr>
      <w:proofErr w:type="spellStart"/>
      <w:r>
        <w:rPr>
          <w:rFonts w:ascii="Calibri" w:hAnsi="Calibri"/>
          <w:sz w:val="24"/>
          <w:szCs w:val="24"/>
        </w:rPr>
        <w:t>Paltridge</w:t>
      </w:r>
      <w:proofErr w:type="spellEnd"/>
      <w:r>
        <w:rPr>
          <w:rFonts w:ascii="Calibri" w:hAnsi="Calibri"/>
          <w:sz w:val="24"/>
          <w:szCs w:val="24"/>
        </w:rPr>
        <w:t xml:space="preserve">, B. (2012). </w:t>
      </w:r>
      <w:r>
        <w:rPr>
          <w:rFonts w:ascii="Calibri" w:hAnsi="Calibri"/>
          <w:i/>
          <w:sz w:val="24"/>
          <w:szCs w:val="24"/>
        </w:rPr>
        <w:t>Discourse Analysis, 2</w:t>
      </w:r>
      <w:r>
        <w:rPr>
          <w:rFonts w:ascii="Calibri" w:hAnsi="Calibri"/>
          <w:i/>
          <w:sz w:val="24"/>
          <w:szCs w:val="24"/>
          <w:vertAlign w:val="superscript"/>
        </w:rPr>
        <w:t>nd</w:t>
      </w:r>
      <w:r>
        <w:rPr>
          <w:rFonts w:ascii="Calibri" w:hAnsi="Calibri"/>
          <w:i/>
          <w:sz w:val="24"/>
          <w:szCs w:val="24"/>
        </w:rPr>
        <w:t xml:space="preserve"> edition. </w:t>
      </w:r>
      <w:r>
        <w:rPr>
          <w:rFonts w:ascii="Calibri" w:hAnsi="Calibri"/>
          <w:sz w:val="24"/>
          <w:szCs w:val="24"/>
        </w:rPr>
        <w:t xml:space="preserve"> London: Bloomsbury    </w:t>
      </w:r>
      <w:r>
        <w:rPr>
          <w:rFonts w:ascii="Calibri" w:hAnsi="Calibri"/>
          <w:sz w:val="24"/>
          <w:szCs w:val="24"/>
        </w:rPr>
        <w:tab/>
      </w:r>
    </w:p>
    <w:p w:rsidR="009E7C82" w:rsidRDefault="009E7C82" w:rsidP="009E7C82">
      <w:pPr>
        <w:rPr>
          <w:rFonts w:ascii="Calibri" w:hAnsi="Calibri"/>
          <w:sz w:val="24"/>
          <w:szCs w:val="24"/>
        </w:rPr>
      </w:pPr>
    </w:p>
    <w:p w:rsidR="009E7C82" w:rsidRDefault="009E7C82" w:rsidP="009E7C82">
      <w:pPr>
        <w:rPr>
          <w:rFonts w:ascii="Calibri" w:hAnsi="Calibri"/>
          <w:sz w:val="24"/>
          <w:szCs w:val="24"/>
        </w:rPr>
      </w:pPr>
      <w:r>
        <w:rPr>
          <w:rFonts w:ascii="Calibri" w:hAnsi="Calibri"/>
          <w:sz w:val="24"/>
          <w:szCs w:val="24"/>
        </w:rPr>
        <w:t xml:space="preserve">There is also a list of set chapters and articles (see Reading List).  </w:t>
      </w:r>
    </w:p>
    <w:p w:rsidR="00C84457" w:rsidRDefault="00C84457" w:rsidP="009E7C82">
      <w:pPr>
        <w:rPr>
          <w:rFonts w:ascii="Calibri" w:hAnsi="Calibri"/>
          <w:sz w:val="24"/>
          <w:szCs w:val="24"/>
        </w:rPr>
      </w:pPr>
    </w:p>
    <w:tbl>
      <w:tblPr>
        <w:tblW w:w="98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42"/>
        <w:gridCol w:w="1134"/>
        <w:gridCol w:w="3261"/>
        <w:gridCol w:w="1842"/>
        <w:gridCol w:w="2349"/>
      </w:tblGrid>
      <w:tr w:rsidR="00C84457" w:rsidTr="00C0008E">
        <w:tc>
          <w:tcPr>
            <w:tcW w:w="1242" w:type="dxa"/>
            <w:tcBorders>
              <w:top w:val="single" w:sz="6" w:space="0" w:color="auto"/>
              <w:left w:val="single" w:sz="6" w:space="0" w:color="auto"/>
              <w:bottom w:val="single" w:sz="6" w:space="0" w:color="auto"/>
              <w:right w:val="single" w:sz="6" w:space="0" w:color="auto"/>
            </w:tcBorders>
            <w:shd w:val="clear" w:color="auto" w:fill="000000"/>
            <w:hideMark/>
          </w:tcPr>
          <w:p w:rsidR="00C84457" w:rsidRDefault="00C84457">
            <w:pPr>
              <w:jc w:val="both"/>
              <w:rPr>
                <w:rFonts w:ascii="Calibri" w:hAnsi="Calibri"/>
                <w:b/>
                <w:color w:val="C0C0C0"/>
                <w:sz w:val="24"/>
                <w:szCs w:val="24"/>
              </w:rPr>
            </w:pPr>
            <w:r>
              <w:rPr>
                <w:rFonts w:ascii="Calibri" w:hAnsi="Calibri"/>
                <w:b/>
                <w:color w:val="C0C0C0"/>
                <w:sz w:val="24"/>
                <w:szCs w:val="24"/>
              </w:rPr>
              <w:t>Class</w:t>
            </w:r>
          </w:p>
        </w:tc>
        <w:tc>
          <w:tcPr>
            <w:tcW w:w="1134" w:type="dxa"/>
            <w:tcBorders>
              <w:top w:val="single" w:sz="6" w:space="0" w:color="auto"/>
              <w:left w:val="single" w:sz="6" w:space="0" w:color="auto"/>
              <w:bottom w:val="single" w:sz="6" w:space="0" w:color="auto"/>
              <w:right w:val="single" w:sz="6" w:space="0" w:color="auto"/>
            </w:tcBorders>
            <w:shd w:val="clear" w:color="auto" w:fill="000000"/>
            <w:hideMark/>
          </w:tcPr>
          <w:p w:rsidR="00C84457" w:rsidRDefault="00C84457">
            <w:pPr>
              <w:jc w:val="both"/>
              <w:rPr>
                <w:rFonts w:ascii="Calibri" w:hAnsi="Calibri"/>
                <w:b/>
                <w:color w:val="C0C0C0"/>
                <w:sz w:val="24"/>
                <w:szCs w:val="24"/>
              </w:rPr>
            </w:pPr>
            <w:r>
              <w:rPr>
                <w:rFonts w:ascii="Calibri" w:hAnsi="Calibri"/>
                <w:b/>
                <w:color w:val="C0C0C0"/>
                <w:sz w:val="24"/>
                <w:szCs w:val="24"/>
              </w:rPr>
              <w:t>Week</w:t>
            </w:r>
          </w:p>
        </w:tc>
        <w:tc>
          <w:tcPr>
            <w:tcW w:w="3261" w:type="dxa"/>
            <w:tcBorders>
              <w:top w:val="single" w:sz="6" w:space="0" w:color="auto"/>
              <w:left w:val="single" w:sz="6" w:space="0" w:color="auto"/>
              <w:bottom w:val="single" w:sz="6" w:space="0" w:color="auto"/>
              <w:right w:val="single" w:sz="6" w:space="0" w:color="auto"/>
            </w:tcBorders>
            <w:shd w:val="clear" w:color="auto" w:fill="000000"/>
            <w:hideMark/>
          </w:tcPr>
          <w:p w:rsidR="00C84457" w:rsidRDefault="00C84457">
            <w:pPr>
              <w:jc w:val="both"/>
              <w:rPr>
                <w:rFonts w:ascii="Calibri" w:hAnsi="Calibri"/>
                <w:b/>
                <w:color w:val="C0C0C0"/>
                <w:sz w:val="24"/>
                <w:szCs w:val="24"/>
              </w:rPr>
            </w:pPr>
            <w:r>
              <w:rPr>
                <w:rFonts w:ascii="Calibri" w:hAnsi="Calibri"/>
                <w:b/>
                <w:color w:val="C0C0C0"/>
                <w:sz w:val="24"/>
                <w:szCs w:val="24"/>
              </w:rPr>
              <w:t>Topic</w:t>
            </w:r>
          </w:p>
        </w:tc>
        <w:tc>
          <w:tcPr>
            <w:tcW w:w="1842" w:type="dxa"/>
            <w:tcBorders>
              <w:top w:val="single" w:sz="6" w:space="0" w:color="auto"/>
              <w:left w:val="single" w:sz="6" w:space="0" w:color="auto"/>
              <w:bottom w:val="single" w:sz="6" w:space="0" w:color="auto"/>
              <w:right w:val="single" w:sz="6" w:space="0" w:color="auto"/>
            </w:tcBorders>
            <w:shd w:val="clear" w:color="auto" w:fill="000000"/>
            <w:hideMark/>
          </w:tcPr>
          <w:p w:rsidR="00C84457" w:rsidRDefault="00C84457">
            <w:pPr>
              <w:jc w:val="both"/>
              <w:rPr>
                <w:rFonts w:ascii="Calibri" w:hAnsi="Calibri"/>
                <w:b/>
                <w:color w:val="C0C0C0"/>
                <w:sz w:val="24"/>
                <w:szCs w:val="24"/>
              </w:rPr>
            </w:pPr>
            <w:r>
              <w:rPr>
                <w:rFonts w:ascii="Calibri" w:hAnsi="Calibri"/>
                <w:b/>
                <w:color w:val="C0C0C0"/>
                <w:sz w:val="24"/>
                <w:szCs w:val="24"/>
              </w:rPr>
              <w:t>Set text</w:t>
            </w:r>
            <w:r w:rsidR="005A2F7B">
              <w:rPr>
                <w:rFonts w:ascii="Calibri" w:hAnsi="Calibri"/>
                <w:b/>
                <w:color w:val="C0C0C0"/>
                <w:sz w:val="24"/>
                <w:szCs w:val="24"/>
              </w:rPr>
              <w:t>book</w:t>
            </w:r>
          </w:p>
        </w:tc>
        <w:tc>
          <w:tcPr>
            <w:tcW w:w="2349" w:type="dxa"/>
            <w:tcBorders>
              <w:top w:val="single" w:sz="6" w:space="0" w:color="auto"/>
              <w:left w:val="single" w:sz="6" w:space="0" w:color="auto"/>
              <w:bottom w:val="single" w:sz="6" w:space="0" w:color="auto"/>
              <w:right w:val="single" w:sz="6" w:space="0" w:color="auto"/>
            </w:tcBorders>
            <w:shd w:val="clear" w:color="auto" w:fill="000000"/>
            <w:hideMark/>
          </w:tcPr>
          <w:p w:rsidR="00C84457" w:rsidRDefault="005A2F7B" w:rsidP="005A2F7B">
            <w:pPr>
              <w:jc w:val="both"/>
              <w:rPr>
                <w:rFonts w:ascii="Calibri" w:hAnsi="Calibri"/>
                <w:b/>
                <w:color w:val="C0C0C0"/>
                <w:sz w:val="24"/>
                <w:szCs w:val="24"/>
              </w:rPr>
            </w:pPr>
            <w:r>
              <w:rPr>
                <w:rFonts w:ascii="Calibri" w:hAnsi="Calibri"/>
                <w:b/>
                <w:color w:val="C0C0C0"/>
                <w:sz w:val="24"/>
                <w:szCs w:val="24"/>
              </w:rPr>
              <w:t xml:space="preserve">Additional </w:t>
            </w:r>
            <w:r w:rsidR="00C84457">
              <w:rPr>
                <w:rFonts w:ascii="Calibri" w:hAnsi="Calibri"/>
                <w:b/>
                <w:color w:val="C0C0C0"/>
                <w:sz w:val="24"/>
                <w:szCs w:val="24"/>
              </w:rPr>
              <w:t xml:space="preserve">articles </w:t>
            </w:r>
            <w:r>
              <w:rPr>
                <w:rFonts w:ascii="Calibri" w:hAnsi="Calibri"/>
                <w:b/>
                <w:color w:val="C0C0C0"/>
                <w:sz w:val="24"/>
                <w:szCs w:val="24"/>
              </w:rPr>
              <w:t>&amp; chapters</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1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2</w:t>
            </w:r>
            <w:r w:rsidR="005F1EB0">
              <w:rPr>
                <w:rFonts w:ascii="Calibri" w:hAnsi="Calibri"/>
                <w:sz w:val="24"/>
                <w:szCs w:val="24"/>
              </w:rPr>
              <w:t>8 July</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What is discourse analysis?</w:t>
            </w:r>
          </w:p>
        </w:tc>
        <w:tc>
          <w:tcPr>
            <w:tcW w:w="18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Chapters 1 &amp; 2</w:t>
            </w:r>
          </w:p>
        </w:tc>
        <w:tc>
          <w:tcPr>
            <w:tcW w:w="2349"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2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4 August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rsidP="00C84457">
            <w:pPr>
              <w:jc w:val="both"/>
              <w:rPr>
                <w:rFonts w:ascii="Calibri" w:hAnsi="Calibri"/>
                <w:sz w:val="24"/>
                <w:szCs w:val="24"/>
              </w:rPr>
            </w:pPr>
            <w:r>
              <w:rPr>
                <w:rFonts w:ascii="Calibri" w:hAnsi="Calibri"/>
                <w:sz w:val="24"/>
                <w:szCs w:val="24"/>
              </w:rPr>
              <w:t xml:space="preserve">Cohesion and coherence 1 </w:t>
            </w:r>
          </w:p>
        </w:tc>
        <w:tc>
          <w:tcPr>
            <w:tcW w:w="1842"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r>
              <w:rPr>
                <w:rFonts w:ascii="Calibri" w:hAnsi="Calibri"/>
                <w:sz w:val="24"/>
                <w:szCs w:val="24"/>
              </w:rPr>
              <w:t>Chapter 6</w:t>
            </w:r>
          </w:p>
          <w:p w:rsidR="00C84457" w:rsidRDefault="00C84457">
            <w:pPr>
              <w:jc w:val="both"/>
              <w:rPr>
                <w:rFonts w:ascii="Calibri" w:hAnsi="Calibri"/>
                <w:sz w:val="24"/>
                <w:szCs w:val="24"/>
              </w:rPr>
            </w:pPr>
          </w:p>
        </w:tc>
        <w:tc>
          <w:tcPr>
            <w:tcW w:w="2349"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3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11 August </w:t>
            </w:r>
          </w:p>
        </w:tc>
        <w:tc>
          <w:tcPr>
            <w:tcW w:w="3261"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r>
              <w:rPr>
                <w:rFonts w:ascii="Calibri" w:hAnsi="Calibri"/>
                <w:sz w:val="24"/>
                <w:szCs w:val="24"/>
              </w:rPr>
              <w:t>Cohesion and coherence II</w:t>
            </w:r>
          </w:p>
          <w:p w:rsidR="00C84457" w:rsidRDefault="00C84457">
            <w:pPr>
              <w:jc w:val="both"/>
              <w:rPr>
                <w:rFonts w:ascii="Calibri" w:hAnsi="Calibri"/>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 </w:t>
            </w:r>
          </w:p>
        </w:tc>
        <w:tc>
          <w:tcPr>
            <w:tcW w:w="2349" w:type="dxa"/>
            <w:tcBorders>
              <w:top w:val="single" w:sz="6" w:space="0" w:color="auto"/>
              <w:left w:val="single" w:sz="6" w:space="0" w:color="auto"/>
              <w:bottom w:val="single" w:sz="6" w:space="0" w:color="auto"/>
              <w:right w:val="single" w:sz="6" w:space="0" w:color="auto"/>
            </w:tcBorders>
            <w:hideMark/>
          </w:tcPr>
          <w:p w:rsidR="00C84457" w:rsidRDefault="00990C9D">
            <w:pPr>
              <w:rPr>
                <w:rFonts w:ascii="Calibri" w:hAnsi="Calibri"/>
                <w:sz w:val="24"/>
                <w:szCs w:val="24"/>
              </w:rPr>
            </w:pPr>
            <w:r>
              <w:rPr>
                <w:rFonts w:ascii="Calibri" w:hAnsi="Calibri"/>
                <w:sz w:val="24"/>
                <w:szCs w:val="24"/>
              </w:rPr>
              <w:t>McGee (2009)</w:t>
            </w:r>
          </w:p>
          <w:p w:rsidR="00990C9D" w:rsidRDefault="00990C9D">
            <w:pPr>
              <w:rPr>
                <w:rFonts w:ascii="Calibri" w:hAnsi="Calibri"/>
                <w:sz w:val="24"/>
                <w:szCs w:val="24"/>
              </w:rPr>
            </w:pPr>
            <w:r>
              <w:rPr>
                <w:rFonts w:ascii="Calibri" w:hAnsi="Calibri"/>
                <w:sz w:val="24"/>
                <w:szCs w:val="24"/>
              </w:rPr>
              <w:t xml:space="preserve">Basturkmen &amp; von </w:t>
            </w:r>
            <w:proofErr w:type="spellStart"/>
            <w:r>
              <w:rPr>
                <w:rFonts w:ascii="Calibri" w:hAnsi="Calibri"/>
                <w:sz w:val="24"/>
                <w:szCs w:val="24"/>
              </w:rPr>
              <w:t>Randow</w:t>
            </w:r>
            <w:proofErr w:type="spellEnd"/>
            <w:r>
              <w:rPr>
                <w:rFonts w:ascii="Calibri" w:hAnsi="Calibri"/>
                <w:sz w:val="24"/>
                <w:szCs w:val="24"/>
              </w:rPr>
              <w:t xml:space="preserve"> (2014)</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4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18 August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Genre analysis I</w:t>
            </w:r>
          </w:p>
          <w:p w:rsidR="00C84457" w:rsidRDefault="00C84457">
            <w:pPr>
              <w:jc w:val="both"/>
              <w:rPr>
                <w:rFonts w:ascii="Calibri" w:hAnsi="Calibri"/>
                <w:sz w:val="24"/>
                <w:szCs w:val="24"/>
              </w:rPr>
            </w:pPr>
            <w:r>
              <w:rPr>
                <w:rFonts w:ascii="Calibri" w:hAnsi="Calibri"/>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C84457" w:rsidRDefault="00C84457" w:rsidP="00C84457">
            <w:pPr>
              <w:jc w:val="both"/>
              <w:rPr>
                <w:rFonts w:ascii="Calibri" w:hAnsi="Calibri"/>
                <w:sz w:val="24"/>
                <w:szCs w:val="24"/>
              </w:rPr>
            </w:pPr>
            <w:r>
              <w:rPr>
                <w:rFonts w:ascii="Calibri" w:hAnsi="Calibri"/>
                <w:sz w:val="24"/>
                <w:szCs w:val="24"/>
              </w:rPr>
              <w:t>Chapter 4</w:t>
            </w:r>
          </w:p>
        </w:tc>
        <w:tc>
          <w:tcPr>
            <w:tcW w:w="2349" w:type="dxa"/>
            <w:tcBorders>
              <w:top w:val="single" w:sz="6" w:space="0" w:color="auto"/>
              <w:left w:val="single" w:sz="6" w:space="0" w:color="auto"/>
              <w:bottom w:val="single" w:sz="6" w:space="0" w:color="auto"/>
              <w:right w:val="single" w:sz="6" w:space="0" w:color="auto"/>
            </w:tcBorders>
          </w:tcPr>
          <w:p w:rsidR="00C84457" w:rsidRDefault="00990C9D">
            <w:pPr>
              <w:jc w:val="both"/>
              <w:rPr>
                <w:rFonts w:ascii="Calibri" w:hAnsi="Calibri"/>
                <w:sz w:val="24"/>
                <w:szCs w:val="24"/>
              </w:rPr>
            </w:pPr>
            <w:r>
              <w:rPr>
                <w:rFonts w:ascii="Calibri" w:hAnsi="Calibri"/>
                <w:sz w:val="24"/>
                <w:szCs w:val="24"/>
              </w:rPr>
              <w:t>Swales (1990)</w:t>
            </w:r>
          </w:p>
          <w:p w:rsidR="00990C9D" w:rsidRDefault="00990C9D">
            <w:pPr>
              <w:jc w:val="both"/>
              <w:rPr>
                <w:rFonts w:ascii="Calibri" w:hAnsi="Calibri"/>
                <w:sz w:val="24"/>
                <w:szCs w:val="24"/>
              </w:rPr>
            </w:pPr>
            <w:r>
              <w:rPr>
                <w:rFonts w:ascii="Calibri" w:hAnsi="Calibri"/>
                <w:sz w:val="24"/>
                <w:szCs w:val="24"/>
              </w:rPr>
              <w:t xml:space="preserve">Flowerdew (2002) </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lastRenderedPageBreak/>
              <w:t xml:space="preserve">5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2</w:t>
            </w:r>
            <w:r w:rsidR="005F1EB0">
              <w:rPr>
                <w:rFonts w:ascii="Calibri" w:hAnsi="Calibri"/>
                <w:sz w:val="24"/>
                <w:szCs w:val="24"/>
              </w:rPr>
              <w:t xml:space="preserve">5 August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rsidP="00C84457">
            <w:pPr>
              <w:jc w:val="both"/>
              <w:rPr>
                <w:rFonts w:ascii="Calibri" w:hAnsi="Calibri"/>
                <w:sz w:val="24"/>
                <w:szCs w:val="24"/>
              </w:rPr>
            </w:pPr>
            <w:r>
              <w:rPr>
                <w:rFonts w:ascii="Calibri" w:hAnsi="Calibri"/>
                <w:sz w:val="24"/>
                <w:szCs w:val="24"/>
              </w:rPr>
              <w:t xml:space="preserve">Genre Analysis II </w:t>
            </w:r>
          </w:p>
        </w:tc>
        <w:tc>
          <w:tcPr>
            <w:tcW w:w="1842"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r>
              <w:rPr>
                <w:rFonts w:ascii="Calibri" w:hAnsi="Calibri"/>
                <w:sz w:val="24"/>
                <w:szCs w:val="24"/>
              </w:rPr>
              <w:t xml:space="preserve"> </w:t>
            </w:r>
          </w:p>
          <w:p w:rsidR="00C84457" w:rsidRDefault="00C84457">
            <w:pPr>
              <w:jc w:val="both"/>
              <w:rPr>
                <w:rFonts w:ascii="Calibri" w:hAnsi="Calibri"/>
                <w:sz w:val="24"/>
                <w:szCs w:val="24"/>
              </w:rPr>
            </w:pPr>
          </w:p>
        </w:tc>
        <w:tc>
          <w:tcPr>
            <w:tcW w:w="2349" w:type="dxa"/>
            <w:tcBorders>
              <w:top w:val="single" w:sz="6" w:space="0" w:color="auto"/>
              <w:left w:val="single" w:sz="6" w:space="0" w:color="auto"/>
              <w:bottom w:val="single" w:sz="6" w:space="0" w:color="auto"/>
              <w:right w:val="single" w:sz="6" w:space="0" w:color="auto"/>
            </w:tcBorders>
            <w:hideMark/>
          </w:tcPr>
          <w:p w:rsidR="00990C9D" w:rsidRDefault="00990C9D">
            <w:pPr>
              <w:jc w:val="both"/>
              <w:rPr>
                <w:rFonts w:ascii="Calibri" w:hAnsi="Calibri"/>
                <w:sz w:val="24"/>
                <w:szCs w:val="24"/>
              </w:rPr>
            </w:pPr>
            <w:r>
              <w:rPr>
                <w:rFonts w:ascii="Calibri" w:hAnsi="Calibri"/>
                <w:sz w:val="24"/>
                <w:szCs w:val="24"/>
              </w:rPr>
              <w:t>Tardy (2019)</w:t>
            </w:r>
          </w:p>
          <w:p w:rsidR="00990C9D" w:rsidRDefault="00990C9D">
            <w:pPr>
              <w:jc w:val="both"/>
              <w:rPr>
                <w:rFonts w:ascii="Calibri" w:hAnsi="Calibri"/>
                <w:sz w:val="24"/>
                <w:szCs w:val="24"/>
              </w:rPr>
            </w:pPr>
            <w:proofErr w:type="spellStart"/>
            <w:r>
              <w:rPr>
                <w:rFonts w:ascii="Calibri" w:hAnsi="Calibri"/>
                <w:sz w:val="24"/>
                <w:szCs w:val="24"/>
              </w:rPr>
              <w:t>Bitchener</w:t>
            </w:r>
            <w:proofErr w:type="spellEnd"/>
            <w:r>
              <w:rPr>
                <w:rFonts w:ascii="Calibri" w:hAnsi="Calibri"/>
                <w:sz w:val="24"/>
                <w:szCs w:val="24"/>
              </w:rPr>
              <w:t xml:space="preserve"> (2010) </w:t>
            </w:r>
          </w:p>
          <w:p w:rsidR="00990C9D" w:rsidRDefault="00990C9D">
            <w:pPr>
              <w:jc w:val="both"/>
              <w:rPr>
                <w:rFonts w:ascii="Calibri" w:hAnsi="Calibri"/>
                <w:sz w:val="24"/>
                <w:szCs w:val="24"/>
              </w:rPr>
            </w:pPr>
            <w:proofErr w:type="spellStart"/>
            <w:r>
              <w:rPr>
                <w:rFonts w:ascii="Calibri" w:hAnsi="Calibri"/>
                <w:sz w:val="24"/>
                <w:szCs w:val="24"/>
              </w:rPr>
              <w:t>Cotos</w:t>
            </w:r>
            <w:proofErr w:type="spellEnd"/>
            <w:r>
              <w:rPr>
                <w:rFonts w:ascii="Calibri" w:hAnsi="Calibri"/>
                <w:sz w:val="24"/>
                <w:szCs w:val="24"/>
              </w:rPr>
              <w:t xml:space="preserve"> (2018) </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6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1 Sept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6320D8">
            <w:pPr>
              <w:jc w:val="both"/>
              <w:rPr>
                <w:rFonts w:ascii="Calibri" w:hAnsi="Calibri"/>
                <w:sz w:val="24"/>
                <w:szCs w:val="24"/>
              </w:rPr>
            </w:pPr>
            <w:r>
              <w:rPr>
                <w:rFonts w:ascii="Calibri" w:hAnsi="Calibri"/>
                <w:sz w:val="24"/>
                <w:szCs w:val="24"/>
              </w:rPr>
              <w:t>Corpus-based</w:t>
            </w:r>
            <w:r w:rsidR="005F1EB0">
              <w:rPr>
                <w:rFonts w:ascii="Calibri" w:hAnsi="Calibri"/>
                <w:sz w:val="24"/>
                <w:szCs w:val="24"/>
              </w:rPr>
              <w:t xml:space="preserve"> &amp; p</w:t>
            </w:r>
            <w:r>
              <w:rPr>
                <w:rFonts w:ascii="Calibri" w:hAnsi="Calibri"/>
                <w:sz w:val="24"/>
                <w:szCs w:val="24"/>
              </w:rPr>
              <w:t>lanned</w:t>
            </w:r>
            <w:r w:rsidR="005F1EB0">
              <w:rPr>
                <w:rFonts w:ascii="Calibri" w:hAnsi="Calibri"/>
                <w:sz w:val="24"/>
                <w:szCs w:val="24"/>
              </w:rPr>
              <w:t xml:space="preserve"> vs. </w:t>
            </w:r>
            <w:r>
              <w:rPr>
                <w:rFonts w:ascii="Calibri" w:hAnsi="Calibri"/>
                <w:sz w:val="24"/>
                <w:szCs w:val="24"/>
              </w:rPr>
              <w:t xml:space="preserve">unplanned discourse </w:t>
            </w:r>
          </w:p>
          <w:p w:rsidR="00C84457" w:rsidRDefault="00C84457" w:rsidP="005A2F7B">
            <w:pPr>
              <w:jc w:val="both"/>
              <w:rPr>
                <w:rFonts w:ascii="Calibri" w:hAnsi="Calibri"/>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C84457" w:rsidRDefault="00CE4BD5">
            <w:pPr>
              <w:jc w:val="both"/>
              <w:rPr>
                <w:rFonts w:ascii="Calibri" w:hAnsi="Calibri"/>
                <w:sz w:val="24"/>
                <w:szCs w:val="24"/>
              </w:rPr>
            </w:pPr>
            <w:r>
              <w:rPr>
                <w:rFonts w:ascii="Calibri" w:hAnsi="Calibri"/>
                <w:sz w:val="24"/>
                <w:szCs w:val="24"/>
              </w:rPr>
              <w:t>Chapter 7</w:t>
            </w:r>
          </w:p>
        </w:tc>
        <w:tc>
          <w:tcPr>
            <w:tcW w:w="2349"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p>
          <w:p w:rsidR="00C84457" w:rsidRDefault="00C84457">
            <w:pPr>
              <w:jc w:val="both"/>
              <w:rPr>
                <w:rFonts w:ascii="Calibri" w:hAnsi="Calibri"/>
                <w:sz w:val="24"/>
                <w:szCs w:val="24"/>
              </w:rPr>
            </w:pPr>
          </w:p>
        </w:tc>
      </w:tr>
      <w:tr w:rsidR="00C84457" w:rsidTr="00C0008E">
        <w:tc>
          <w:tcPr>
            <w:tcW w:w="9828" w:type="dxa"/>
            <w:gridSpan w:val="5"/>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i/>
                <w:sz w:val="24"/>
                <w:szCs w:val="24"/>
              </w:rPr>
            </w:pPr>
            <w:r>
              <w:rPr>
                <w:rFonts w:ascii="Calibri" w:hAnsi="Calibri"/>
                <w:i/>
                <w:sz w:val="24"/>
                <w:szCs w:val="24"/>
              </w:rPr>
              <w:t xml:space="preserve">Mid Semester Break: </w:t>
            </w:r>
            <w:r w:rsidR="005F1EB0">
              <w:rPr>
                <w:rFonts w:ascii="Calibri" w:hAnsi="Calibri"/>
                <w:i/>
                <w:sz w:val="24"/>
                <w:szCs w:val="24"/>
              </w:rPr>
              <w:t xml:space="preserve">7-18 September </w:t>
            </w:r>
            <w:r>
              <w:rPr>
                <w:rFonts w:ascii="Calibri" w:hAnsi="Calibri"/>
                <w:i/>
                <w:sz w:val="24"/>
                <w:szCs w:val="24"/>
              </w:rPr>
              <w:t xml:space="preserve">  </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7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22 Sept</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Pragmatics I</w:t>
            </w:r>
          </w:p>
          <w:p w:rsidR="00C84457" w:rsidRDefault="00C84457">
            <w:pPr>
              <w:jc w:val="both"/>
              <w:rPr>
                <w:rFonts w:ascii="Calibri" w:hAnsi="Calibri"/>
                <w:sz w:val="24"/>
                <w:szCs w:val="24"/>
              </w:rPr>
            </w:pPr>
            <w:r>
              <w:rPr>
                <w:rFonts w:ascii="Calibri" w:hAnsi="Calibri"/>
                <w:sz w:val="24"/>
                <w:szCs w:val="24"/>
              </w:rPr>
              <w:t xml:space="preserve"> </w:t>
            </w:r>
          </w:p>
        </w:tc>
        <w:tc>
          <w:tcPr>
            <w:tcW w:w="1842" w:type="dxa"/>
            <w:tcBorders>
              <w:top w:val="single" w:sz="6" w:space="0" w:color="auto"/>
              <w:left w:val="single" w:sz="6" w:space="0" w:color="auto"/>
              <w:bottom w:val="single" w:sz="6" w:space="0" w:color="auto"/>
              <w:right w:val="single" w:sz="6" w:space="0" w:color="auto"/>
            </w:tcBorders>
            <w:hideMark/>
          </w:tcPr>
          <w:p w:rsidR="00C84457" w:rsidRDefault="000E532C">
            <w:pPr>
              <w:jc w:val="both"/>
              <w:rPr>
                <w:rFonts w:ascii="Calibri" w:hAnsi="Calibri"/>
                <w:sz w:val="24"/>
                <w:szCs w:val="24"/>
              </w:rPr>
            </w:pPr>
            <w:r>
              <w:rPr>
                <w:rFonts w:ascii="Calibri" w:hAnsi="Calibri"/>
                <w:sz w:val="24"/>
                <w:szCs w:val="24"/>
              </w:rPr>
              <w:t>Chapter 3</w:t>
            </w:r>
          </w:p>
        </w:tc>
        <w:tc>
          <w:tcPr>
            <w:tcW w:w="2349" w:type="dxa"/>
            <w:tcBorders>
              <w:top w:val="single" w:sz="6" w:space="0" w:color="auto"/>
              <w:left w:val="single" w:sz="6" w:space="0" w:color="auto"/>
              <w:bottom w:val="single" w:sz="6" w:space="0" w:color="auto"/>
              <w:right w:val="single" w:sz="6" w:space="0" w:color="auto"/>
            </w:tcBorders>
          </w:tcPr>
          <w:p w:rsidR="00990C9D" w:rsidRDefault="00990C9D" w:rsidP="00990C9D">
            <w:pPr>
              <w:jc w:val="both"/>
              <w:rPr>
                <w:rFonts w:ascii="Calibri" w:hAnsi="Calibri"/>
                <w:sz w:val="24"/>
                <w:szCs w:val="24"/>
              </w:rPr>
            </w:pPr>
            <w:r>
              <w:rPr>
                <w:rFonts w:ascii="Calibri" w:hAnsi="Calibri"/>
                <w:sz w:val="24"/>
                <w:szCs w:val="24"/>
              </w:rPr>
              <w:t>Thomas (2014)</w:t>
            </w:r>
          </w:p>
          <w:p w:rsidR="00990C9D" w:rsidRDefault="00990C9D" w:rsidP="00990C9D">
            <w:pPr>
              <w:jc w:val="both"/>
              <w:rPr>
                <w:rFonts w:ascii="Calibri" w:hAnsi="Calibri"/>
                <w:sz w:val="24"/>
                <w:szCs w:val="24"/>
              </w:rPr>
            </w:pPr>
            <w:proofErr w:type="spellStart"/>
            <w:r>
              <w:rPr>
                <w:rFonts w:ascii="Calibri" w:hAnsi="Calibri"/>
                <w:sz w:val="24"/>
                <w:szCs w:val="24"/>
              </w:rPr>
              <w:t>Eslami-Rakekh</w:t>
            </w:r>
            <w:proofErr w:type="spellEnd"/>
            <w:r>
              <w:rPr>
                <w:rFonts w:ascii="Calibri" w:hAnsi="Calibri"/>
                <w:sz w:val="24"/>
                <w:szCs w:val="24"/>
              </w:rPr>
              <w:t xml:space="preserve"> (2005)</w:t>
            </w:r>
          </w:p>
          <w:p w:rsidR="00C84457" w:rsidRDefault="00990C9D" w:rsidP="00990C9D">
            <w:pPr>
              <w:jc w:val="both"/>
              <w:rPr>
                <w:rFonts w:ascii="Calibri" w:hAnsi="Calibri"/>
                <w:sz w:val="24"/>
                <w:szCs w:val="24"/>
              </w:rPr>
            </w:pPr>
            <w:r>
              <w:rPr>
                <w:rFonts w:ascii="Calibri" w:hAnsi="Calibri"/>
                <w:sz w:val="24"/>
                <w:szCs w:val="24"/>
              </w:rPr>
              <w:t xml:space="preserve">Siegal (2019)  </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8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2</w:t>
            </w:r>
            <w:r w:rsidR="005F1EB0">
              <w:rPr>
                <w:rFonts w:ascii="Calibri" w:hAnsi="Calibri"/>
                <w:sz w:val="24"/>
                <w:szCs w:val="24"/>
              </w:rPr>
              <w:t xml:space="preserve">9 Sept </w:t>
            </w:r>
          </w:p>
        </w:tc>
        <w:tc>
          <w:tcPr>
            <w:tcW w:w="3261"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r>
              <w:rPr>
                <w:rFonts w:ascii="Calibri" w:hAnsi="Calibri"/>
                <w:sz w:val="24"/>
                <w:szCs w:val="24"/>
              </w:rPr>
              <w:t>Pragmatics II</w:t>
            </w:r>
          </w:p>
          <w:p w:rsidR="00C84457" w:rsidRDefault="00C84457">
            <w:pPr>
              <w:jc w:val="both"/>
              <w:rPr>
                <w:rFonts w:ascii="Calibri" w:hAnsi="Calibri"/>
                <w:sz w:val="24"/>
                <w:szCs w:val="24"/>
              </w:rPr>
            </w:pPr>
          </w:p>
        </w:tc>
        <w:tc>
          <w:tcPr>
            <w:tcW w:w="1842"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p>
        </w:tc>
        <w:tc>
          <w:tcPr>
            <w:tcW w:w="2349" w:type="dxa"/>
            <w:tcBorders>
              <w:top w:val="single" w:sz="6" w:space="0" w:color="auto"/>
              <w:left w:val="single" w:sz="6" w:space="0" w:color="auto"/>
              <w:bottom w:val="single" w:sz="6" w:space="0" w:color="auto"/>
              <w:right w:val="single" w:sz="6" w:space="0" w:color="auto"/>
            </w:tcBorders>
            <w:hideMark/>
          </w:tcPr>
          <w:p w:rsidR="00C84457" w:rsidRDefault="00990C9D">
            <w:pPr>
              <w:jc w:val="both"/>
              <w:rPr>
                <w:rFonts w:ascii="Calibri" w:hAnsi="Calibri"/>
                <w:sz w:val="24"/>
                <w:szCs w:val="24"/>
              </w:rPr>
            </w:pPr>
            <w:proofErr w:type="spellStart"/>
            <w:r>
              <w:rPr>
                <w:rFonts w:ascii="Calibri" w:hAnsi="Calibri"/>
                <w:sz w:val="24"/>
                <w:szCs w:val="24"/>
              </w:rPr>
              <w:t>Dornyei</w:t>
            </w:r>
            <w:proofErr w:type="spellEnd"/>
            <w:r>
              <w:rPr>
                <w:rFonts w:ascii="Calibri" w:hAnsi="Calibri"/>
                <w:sz w:val="24"/>
                <w:szCs w:val="24"/>
              </w:rPr>
              <w:t xml:space="preserve"> &amp; </w:t>
            </w:r>
            <w:proofErr w:type="spellStart"/>
            <w:r>
              <w:rPr>
                <w:rFonts w:ascii="Calibri" w:hAnsi="Calibri"/>
                <w:sz w:val="24"/>
                <w:szCs w:val="24"/>
              </w:rPr>
              <w:t>Thureel</w:t>
            </w:r>
            <w:proofErr w:type="spellEnd"/>
            <w:r>
              <w:rPr>
                <w:rFonts w:ascii="Calibri" w:hAnsi="Calibri"/>
                <w:sz w:val="24"/>
                <w:szCs w:val="24"/>
              </w:rPr>
              <w:t xml:space="preserve"> (1992) </w:t>
            </w:r>
          </w:p>
          <w:p w:rsidR="00990C9D" w:rsidRDefault="00990C9D">
            <w:pPr>
              <w:jc w:val="both"/>
              <w:rPr>
                <w:rFonts w:ascii="Calibri" w:hAnsi="Calibri"/>
                <w:sz w:val="24"/>
                <w:szCs w:val="24"/>
              </w:rPr>
            </w:pPr>
            <w:r>
              <w:rPr>
                <w:rFonts w:ascii="Calibri" w:hAnsi="Calibri"/>
                <w:sz w:val="24"/>
                <w:szCs w:val="24"/>
              </w:rPr>
              <w:t>Bouton et al. (2010)</w:t>
            </w:r>
          </w:p>
          <w:p w:rsidR="00990C9D" w:rsidRDefault="00990C9D">
            <w:pPr>
              <w:jc w:val="both"/>
              <w:rPr>
                <w:rFonts w:ascii="Calibri" w:hAnsi="Calibri"/>
                <w:sz w:val="24"/>
                <w:szCs w:val="24"/>
              </w:rPr>
            </w:pPr>
            <w:r>
              <w:rPr>
                <w:rFonts w:ascii="Calibri" w:hAnsi="Calibri"/>
                <w:sz w:val="24"/>
                <w:szCs w:val="24"/>
              </w:rPr>
              <w:t>Ren &amp; Han (2016)</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9 </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6 Oct </w:t>
            </w:r>
            <w:r w:rsidR="00C84457">
              <w:rPr>
                <w:rFonts w:ascii="Calibri" w:hAnsi="Calibri"/>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hideMark/>
          </w:tcPr>
          <w:p w:rsidR="005A2F7B" w:rsidRDefault="006320D8" w:rsidP="006320D8">
            <w:pPr>
              <w:jc w:val="both"/>
              <w:rPr>
                <w:rFonts w:ascii="Calibri" w:hAnsi="Calibri"/>
                <w:sz w:val="24"/>
                <w:szCs w:val="24"/>
              </w:rPr>
            </w:pPr>
            <w:r>
              <w:rPr>
                <w:rFonts w:ascii="Calibri" w:hAnsi="Calibri"/>
                <w:sz w:val="24"/>
                <w:szCs w:val="24"/>
              </w:rPr>
              <w:t xml:space="preserve">Conversation Analysis </w:t>
            </w:r>
          </w:p>
        </w:tc>
        <w:tc>
          <w:tcPr>
            <w:tcW w:w="1842" w:type="dxa"/>
            <w:tcBorders>
              <w:top w:val="single" w:sz="6" w:space="0" w:color="auto"/>
              <w:left w:val="single" w:sz="6" w:space="0" w:color="auto"/>
              <w:bottom w:val="single" w:sz="6" w:space="0" w:color="auto"/>
              <w:right w:val="single" w:sz="6" w:space="0" w:color="auto"/>
            </w:tcBorders>
            <w:hideMark/>
          </w:tcPr>
          <w:p w:rsidR="00C84457" w:rsidRDefault="00CE4BD5">
            <w:pPr>
              <w:jc w:val="both"/>
              <w:rPr>
                <w:rFonts w:ascii="Calibri" w:hAnsi="Calibri"/>
                <w:sz w:val="24"/>
                <w:szCs w:val="24"/>
              </w:rPr>
            </w:pPr>
            <w:r>
              <w:rPr>
                <w:rFonts w:ascii="Calibri" w:hAnsi="Calibri"/>
                <w:sz w:val="24"/>
                <w:szCs w:val="24"/>
              </w:rPr>
              <w:t>Chapter 5</w:t>
            </w:r>
          </w:p>
        </w:tc>
        <w:tc>
          <w:tcPr>
            <w:tcW w:w="2349"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10</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13 Oct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rsidP="00C84457">
            <w:pPr>
              <w:jc w:val="both"/>
              <w:rPr>
                <w:rFonts w:ascii="Calibri" w:hAnsi="Calibri"/>
                <w:sz w:val="24"/>
                <w:szCs w:val="24"/>
              </w:rPr>
            </w:pPr>
            <w:r>
              <w:rPr>
                <w:rFonts w:ascii="Calibri" w:hAnsi="Calibri"/>
                <w:sz w:val="24"/>
                <w:szCs w:val="24"/>
              </w:rPr>
              <w:t>Critical discourse analysis I</w:t>
            </w:r>
          </w:p>
        </w:tc>
        <w:tc>
          <w:tcPr>
            <w:tcW w:w="1842"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r>
              <w:rPr>
                <w:rFonts w:ascii="Calibri" w:hAnsi="Calibri"/>
                <w:sz w:val="24"/>
                <w:szCs w:val="24"/>
              </w:rPr>
              <w:t>Chapter 9</w:t>
            </w:r>
          </w:p>
        </w:tc>
        <w:tc>
          <w:tcPr>
            <w:tcW w:w="2349" w:type="dxa"/>
            <w:tcBorders>
              <w:top w:val="single" w:sz="6" w:space="0" w:color="auto"/>
              <w:left w:val="single" w:sz="6" w:space="0" w:color="auto"/>
              <w:bottom w:val="single" w:sz="6" w:space="0" w:color="auto"/>
              <w:right w:val="single" w:sz="6" w:space="0" w:color="auto"/>
            </w:tcBorders>
            <w:hideMark/>
          </w:tcPr>
          <w:p w:rsidR="00C84457" w:rsidRDefault="005A2F7B">
            <w:pPr>
              <w:jc w:val="both"/>
              <w:rPr>
                <w:rFonts w:ascii="Calibri" w:hAnsi="Calibri"/>
                <w:sz w:val="24"/>
                <w:szCs w:val="24"/>
              </w:rPr>
            </w:pPr>
            <w:r>
              <w:rPr>
                <w:rFonts w:ascii="Calibri" w:hAnsi="Calibri"/>
                <w:sz w:val="24"/>
                <w:szCs w:val="24"/>
              </w:rPr>
              <w:t xml:space="preserve"> </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11</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5F1EB0">
            <w:pPr>
              <w:jc w:val="both"/>
              <w:rPr>
                <w:rFonts w:ascii="Calibri" w:hAnsi="Calibri"/>
                <w:sz w:val="24"/>
                <w:szCs w:val="24"/>
              </w:rPr>
            </w:pPr>
            <w:r>
              <w:rPr>
                <w:rFonts w:ascii="Calibri" w:hAnsi="Calibri"/>
                <w:sz w:val="24"/>
                <w:szCs w:val="24"/>
              </w:rPr>
              <w:t xml:space="preserve">20 Oct </w:t>
            </w:r>
            <w:r w:rsidR="00C84457">
              <w:rPr>
                <w:rFonts w:ascii="Calibri" w:hAnsi="Calibri"/>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Critical discourse analysis II </w:t>
            </w:r>
          </w:p>
          <w:p w:rsidR="00C84457" w:rsidRDefault="00C84457">
            <w:pPr>
              <w:jc w:val="both"/>
              <w:rPr>
                <w:rFonts w:ascii="Calibri" w:hAnsi="Calibri"/>
                <w:sz w:val="24"/>
                <w:szCs w:val="24"/>
              </w:rPr>
            </w:pPr>
          </w:p>
        </w:tc>
        <w:tc>
          <w:tcPr>
            <w:tcW w:w="18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 </w:t>
            </w:r>
          </w:p>
        </w:tc>
        <w:tc>
          <w:tcPr>
            <w:tcW w:w="2349" w:type="dxa"/>
            <w:tcBorders>
              <w:top w:val="single" w:sz="6" w:space="0" w:color="auto"/>
              <w:left w:val="single" w:sz="6" w:space="0" w:color="auto"/>
              <w:bottom w:val="single" w:sz="6" w:space="0" w:color="auto"/>
              <w:right w:val="single" w:sz="6" w:space="0" w:color="auto"/>
            </w:tcBorders>
          </w:tcPr>
          <w:p w:rsidR="00C84457" w:rsidRDefault="00990C9D">
            <w:pPr>
              <w:jc w:val="both"/>
              <w:rPr>
                <w:rFonts w:ascii="Calibri" w:hAnsi="Calibri"/>
                <w:sz w:val="24"/>
                <w:szCs w:val="24"/>
              </w:rPr>
            </w:pPr>
            <w:r>
              <w:rPr>
                <w:rFonts w:ascii="Calibri" w:hAnsi="Calibri"/>
                <w:sz w:val="24"/>
                <w:szCs w:val="24"/>
              </w:rPr>
              <w:t xml:space="preserve">Jaworski &amp; Coupland (2014) </w:t>
            </w:r>
            <w:r w:rsidR="005A2F7B">
              <w:rPr>
                <w:rFonts w:ascii="Calibri" w:hAnsi="Calibri"/>
                <w:sz w:val="24"/>
                <w:szCs w:val="24"/>
              </w:rPr>
              <w:t xml:space="preserve"> </w:t>
            </w:r>
          </w:p>
        </w:tc>
      </w:tr>
      <w:tr w:rsidR="00C84457" w:rsidTr="00C0008E">
        <w:tc>
          <w:tcPr>
            <w:tcW w:w="12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12</w:t>
            </w:r>
          </w:p>
        </w:tc>
        <w:tc>
          <w:tcPr>
            <w:tcW w:w="1134"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2</w:t>
            </w:r>
            <w:r w:rsidR="005F1EB0">
              <w:rPr>
                <w:rFonts w:ascii="Calibri" w:hAnsi="Calibri"/>
                <w:sz w:val="24"/>
                <w:szCs w:val="24"/>
              </w:rPr>
              <w:t xml:space="preserve">7 Oct </w:t>
            </w:r>
            <w:r>
              <w:rPr>
                <w:rFonts w:ascii="Calibri" w:hAnsi="Calibri"/>
                <w:sz w:val="24"/>
                <w:szCs w:val="24"/>
              </w:rPr>
              <w:t xml:space="preserve"> </w:t>
            </w:r>
          </w:p>
        </w:tc>
        <w:tc>
          <w:tcPr>
            <w:tcW w:w="3261"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 xml:space="preserve">Research design in discourse analysis  </w:t>
            </w:r>
          </w:p>
        </w:tc>
        <w:tc>
          <w:tcPr>
            <w:tcW w:w="1842" w:type="dxa"/>
            <w:tcBorders>
              <w:top w:val="single" w:sz="6" w:space="0" w:color="auto"/>
              <w:left w:val="single" w:sz="6" w:space="0" w:color="auto"/>
              <w:bottom w:val="single" w:sz="6" w:space="0" w:color="auto"/>
              <w:right w:val="single" w:sz="6" w:space="0" w:color="auto"/>
            </w:tcBorders>
            <w:hideMark/>
          </w:tcPr>
          <w:p w:rsidR="00C84457" w:rsidRDefault="00C84457">
            <w:pPr>
              <w:jc w:val="both"/>
              <w:rPr>
                <w:rFonts w:ascii="Calibri" w:hAnsi="Calibri"/>
                <w:sz w:val="24"/>
                <w:szCs w:val="24"/>
              </w:rPr>
            </w:pPr>
            <w:r>
              <w:rPr>
                <w:rFonts w:ascii="Calibri" w:hAnsi="Calibri"/>
                <w:sz w:val="24"/>
                <w:szCs w:val="24"/>
              </w:rPr>
              <w:t>Chapter 10</w:t>
            </w:r>
          </w:p>
        </w:tc>
        <w:tc>
          <w:tcPr>
            <w:tcW w:w="2349" w:type="dxa"/>
            <w:tcBorders>
              <w:top w:val="single" w:sz="6" w:space="0" w:color="auto"/>
              <w:left w:val="single" w:sz="6" w:space="0" w:color="auto"/>
              <w:bottom w:val="single" w:sz="6" w:space="0" w:color="auto"/>
              <w:right w:val="single" w:sz="6" w:space="0" w:color="auto"/>
            </w:tcBorders>
          </w:tcPr>
          <w:p w:rsidR="00C84457" w:rsidRDefault="00C84457">
            <w:pPr>
              <w:jc w:val="both"/>
              <w:rPr>
                <w:rFonts w:ascii="Calibri" w:hAnsi="Calibri"/>
                <w:sz w:val="24"/>
                <w:szCs w:val="24"/>
              </w:rPr>
            </w:pPr>
          </w:p>
        </w:tc>
      </w:tr>
    </w:tbl>
    <w:p w:rsidR="00C0008E" w:rsidRDefault="00C0008E" w:rsidP="00C0008E">
      <w:pPr>
        <w:jc w:val="both"/>
        <w:outlineLvl w:val="0"/>
        <w:rPr>
          <w:rFonts w:ascii="Calibri" w:hAnsi="Calibri"/>
          <w:szCs w:val="22"/>
          <w:u w:val="single"/>
        </w:rPr>
      </w:pPr>
    </w:p>
    <w:p w:rsidR="00C0008E" w:rsidRDefault="00C0008E" w:rsidP="00C0008E">
      <w:pPr>
        <w:jc w:val="both"/>
        <w:outlineLvl w:val="0"/>
        <w:rPr>
          <w:rFonts w:ascii="Calibri" w:hAnsi="Calibri"/>
          <w:szCs w:val="22"/>
          <w:u w:val="single"/>
        </w:rPr>
      </w:pPr>
    </w:p>
    <w:p w:rsidR="00C0008E" w:rsidRDefault="00C0008E" w:rsidP="00C0008E">
      <w:pPr>
        <w:jc w:val="both"/>
        <w:outlineLvl w:val="0"/>
        <w:rPr>
          <w:rFonts w:ascii="Calibri" w:hAnsi="Calibri"/>
          <w:szCs w:val="22"/>
          <w:u w:val="single"/>
          <w:lang w:val="en-NZ"/>
        </w:rPr>
      </w:pPr>
      <w:r>
        <w:rPr>
          <w:rFonts w:ascii="Calibri" w:hAnsi="Calibri"/>
          <w:szCs w:val="22"/>
          <w:u w:val="single"/>
        </w:rPr>
        <w:t>1. TIME MANAGEMENT</w:t>
      </w:r>
    </w:p>
    <w:p w:rsidR="00C0008E" w:rsidRDefault="00C0008E" w:rsidP="00C0008E">
      <w:pPr>
        <w:jc w:val="both"/>
        <w:outlineLvl w:val="0"/>
        <w:rPr>
          <w:rFonts w:ascii="Calibri" w:hAnsi="Calibri"/>
          <w:szCs w:val="22"/>
          <w:u w:val="single"/>
        </w:rPr>
      </w:pPr>
      <w:r>
        <w:rPr>
          <w:rFonts w:ascii="Calibri" w:hAnsi="Calibri"/>
          <w:szCs w:val="22"/>
        </w:rPr>
        <w:t>Time management is essential to academic success, and it is the responsibility of students to manage t</w:t>
      </w:r>
      <w:bookmarkStart w:id="0" w:name="_GoBack"/>
      <w:bookmarkEnd w:id="0"/>
      <w:r>
        <w:rPr>
          <w:rFonts w:ascii="Calibri" w:hAnsi="Calibri"/>
          <w:szCs w:val="22"/>
        </w:rPr>
        <w:t>heir time so all assignments can be submitted on or before the due dates.</w:t>
      </w:r>
      <w:r>
        <w:rPr>
          <w:rFonts w:ascii="Calibri" w:hAnsi="Calibri"/>
          <w:szCs w:val="22"/>
          <w:u w:val="single"/>
        </w:rPr>
        <w:t xml:space="preserve"> </w:t>
      </w:r>
    </w:p>
    <w:p w:rsidR="00C0008E" w:rsidRDefault="00C0008E" w:rsidP="00C0008E">
      <w:pPr>
        <w:jc w:val="both"/>
        <w:outlineLvl w:val="0"/>
        <w:rPr>
          <w:rFonts w:ascii="Calibri" w:hAnsi="Calibri"/>
          <w:szCs w:val="22"/>
          <w:u w:val="single"/>
        </w:rPr>
      </w:pPr>
    </w:p>
    <w:p w:rsidR="00C0008E" w:rsidRDefault="00C0008E" w:rsidP="00C0008E">
      <w:pPr>
        <w:outlineLvl w:val="0"/>
        <w:rPr>
          <w:rFonts w:ascii="Calibri" w:hAnsi="Calibri"/>
          <w:szCs w:val="22"/>
          <w:u w:val="single"/>
        </w:rPr>
      </w:pPr>
      <w:r>
        <w:rPr>
          <w:rFonts w:ascii="Calibri" w:hAnsi="Calibri"/>
          <w:szCs w:val="22"/>
          <w:u w:val="single"/>
        </w:rPr>
        <w:t>2. HOW TO SEEK/ REQUEST/APPLY FOR AN EXTENSION</w:t>
      </w:r>
    </w:p>
    <w:p w:rsidR="00C0008E" w:rsidRDefault="00C0008E" w:rsidP="00C0008E">
      <w:pPr>
        <w:outlineLvl w:val="0"/>
        <w:rPr>
          <w:rFonts w:ascii="Calibri" w:hAnsi="Calibri"/>
          <w:szCs w:val="22"/>
          <w:u w:val="single"/>
        </w:rPr>
      </w:pPr>
    </w:p>
    <w:p w:rsidR="00C0008E" w:rsidRDefault="00C0008E" w:rsidP="00C0008E">
      <w:pPr>
        <w:jc w:val="both"/>
        <w:rPr>
          <w:rFonts w:ascii="Calibri" w:hAnsi="Calibri"/>
          <w:szCs w:val="22"/>
        </w:rPr>
      </w:pPr>
      <w:r>
        <w:rPr>
          <w:rFonts w:ascii="Calibri" w:hAnsi="Calibri"/>
          <w:szCs w:val="22"/>
        </w:rPr>
        <w:t xml:space="preserve">In </w:t>
      </w:r>
      <w:r>
        <w:rPr>
          <w:rFonts w:ascii="Calibri" w:hAnsi="Calibri"/>
          <w:i/>
          <w:szCs w:val="22"/>
        </w:rPr>
        <w:t xml:space="preserve">serious circumstances* </w:t>
      </w:r>
      <w:r>
        <w:rPr>
          <w:rFonts w:ascii="Calibri" w:hAnsi="Calibri"/>
          <w:iCs/>
          <w:szCs w:val="22"/>
        </w:rPr>
        <w:t>beyond the student’s control</w:t>
      </w:r>
      <w:r>
        <w:rPr>
          <w:rFonts w:ascii="Calibri" w:hAnsi="Calibri"/>
          <w:szCs w:val="22"/>
        </w:rPr>
        <w:t xml:space="preserve"> (see below), s/he may request an extension from the Course Convenor. The request should… </w:t>
      </w:r>
    </w:p>
    <w:p w:rsidR="00C0008E" w:rsidRDefault="00C0008E" w:rsidP="00C0008E">
      <w:pPr>
        <w:numPr>
          <w:ilvl w:val="0"/>
          <w:numId w:val="1"/>
        </w:numPr>
        <w:overflowPunct/>
        <w:autoSpaceDE/>
        <w:autoSpaceDN/>
        <w:adjustRightInd/>
        <w:jc w:val="both"/>
        <w:rPr>
          <w:rFonts w:ascii="Calibri" w:hAnsi="Calibri"/>
          <w:b/>
          <w:szCs w:val="22"/>
        </w:rPr>
      </w:pPr>
      <w:r>
        <w:rPr>
          <w:rFonts w:ascii="Calibri" w:hAnsi="Calibri"/>
          <w:b/>
          <w:szCs w:val="22"/>
        </w:rPr>
        <w:t xml:space="preserve">be made by email at least 2-3 days BEFORE the due date for the assignment </w:t>
      </w:r>
    </w:p>
    <w:p w:rsidR="00C0008E" w:rsidRDefault="00C0008E" w:rsidP="00C0008E">
      <w:pPr>
        <w:numPr>
          <w:ilvl w:val="0"/>
          <w:numId w:val="1"/>
        </w:numPr>
        <w:overflowPunct/>
        <w:autoSpaceDE/>
        <w:autoSpaceDN/>
        <w:adjustRightInd/>
        <w:jc w:val="both"/>
        <w:rPr>
          <w:rFonts w:ascii="Calibri" w:hAnsi="Calibri"/>
          <w:szCs w:val="22"/>
        </w:rPr>
      </w:pPr>
      <w:r>
        <w:rPr>
          <w:rFonts w:ascii="Calibri" w:hAnsi="Calibri"/>
          <w:szCs w:val="22"/>
        </w:rPr>
        <w:t xml:space="preserve">provide an explanation of the circumstances </w:t>
      </w:r>
    </w:p>
    <w:p w:rsidR="00C0008E" w:rsidRDefault="00C0008E" w:rsidP="00C0008E">
      <w:pPr>
        <w:numPr>
          <w:ilvl w:val="0"/>
          <w:numId w:val="2"/>
        </w:numPr>
        <w:overflowPunct/>
        <w:autoSpaceDE/>
        <w:autoSpaceDN/>
        <w:adjustRightInd/>
        <w:jc w:val="both"/>
        <w:rPr>
          <w:rFonts w:ascii="Calibri" w:hAnsi="Calibri"/>
          <w:szCs w:val="22"/>
        </w:rPr>
      </w:pPr>
      <w:r>
        <w:rPr>
          <w:rFonts w:ascii="Calibri" w:hAnsi="Calibri"/>
          <w:szCs w:val="22"/>
        </w:rPr>
        <w:t>be supported by a satisfactory medical certificate or other documentation</w:t>
      </w:r>
    </w:p>
    <w:p w:rsidR="00C0008E" w:rsidRDefault="00C0008E" w:rsidP="00C0008E">
      <w:pPr>
        <w:rPr>
          <w:rFonts w:ascii="Calibri" w:hAnsi="Calibri"/>
          <w:szCs w:val="22"/>
        </w:rPr>
      </w:pPr>
    </w:p>
    <w:p w:rsidR="00C0008E" w:rsidRDefault="00C0008E" w:rsidP="00C0008E">
      <w:pPr>
        <w:rPr>
          <w:rFonts w:ascii="Calibri" w:hAnsi="Calibri"/>
          <w:szCs w:val="22"/>
        </w:rPr>
      </w:pPr>
      <w:r>
        <w:rPr>
          <w:rFonts w:ascii="Calibri" w:hAnsi="Calibri"/>
          <w:szCs w:val="22"/>
        </w:rPr>
        <w:t xml:space="preserve">If an extension is granted, you will be given a new due date. </w:t>
      </w:r>
    </w:p>
    <w:p w:rsidR="00C0008E" w:rsidRDefault="00C0008E" w:rsidP="00C0008E">
      <w:pPr>
        <w:jc w:val="both"/>
        <w:rPr>
          <w:rFonts w:ascii="Calibri" w:hAnsi="Calibri"/>
          <w:szCs w:val="22"/>
        </w:rPr>
      </w:pPr>
      <w:r>
        <w:rPr>
          <w:rFonts w:ascii="Calibri" w:hAnsi="Calibri"/>
          <w:szCs w:val="22"/>
        </w:rPr>
        <w:t>Only ONE extension can be granted to a student per assignment.</w:t>
      </w:r>
    </w:p>
    <w:p w:rsidR="00C0008E" w:rsidRDefault="00C0008E" w:rsidP="00C0008E">
      <w:pPr>
        <w:jc w:val="both"/>
        <w:rPr>
          <w:rFonts w:ascii="Calibri" w:hAnsi="Calibri"/>
          <w:szCs w:val="22"/>
        </w:rPr>
      </w:pPr>
      <w:r>
        <w:rPr>
          <w:rFonts w:ascii="Calibri" w:hAnsi="Calibri"/>
          <w:szCs w:val="22"/>
        </w:rPr>
        <w:t xml:space="preserve">Only in extreme circumstances will late requests for extensions be considered. </w:t>
      </w:r>
    </w:p>
    <w:p w:rsidR="00C0008E" w:rsidRDefault="00C0008E" w:rsidP="00C0008E">
      <w:pPr>
        <w:jc w:val="both"/>
        <w:rPr>
          <w:rFonts w:ascii="Calibri" w:hAnsi="Calibri"/>
          <w:szCs w:val="22"/>
        </w:rPr>
      </w:pPr>
    </w:p>
    <w:p w:rsidR="00C0008E" w:rsidRDefault="00C0008E" w:rsidP="00C0008E">
      <w:pPr>
        <w:jc w:val="both"/>
        <w:rPr>
          <w:rFonts w:ascii="Calibri" w:hAnsi="Calibri"/>
          <w:szCs w:val="22"/>
        </w:rPr>
      </w:pPr>
      <w:r>
        <w:rPr>
          <w:rFonts w:ascii="Calibri" w:hAnsi="Calibri"/>
          <w:i/>
          <w:szCs w:val="22"/>
        </w:rPr>
        <w:t>*Serious circumstance</w:t>
      </w:r>
      <w:r>
        <w:rPr>
          <w:rFonts w:ascii="Calibri" w:hAnsi="Calibri"/>
          <w:szCs w:val="22"/>
        </w:rPr>
        <w:t xml:space="preserve">s refers to major, unexpected events such as sudden illness (in the case of in-class tests etc.), long-term illness (for essays etc. done over a week or more), or bereavement in the immediate family. Documentary evidence will be requested. It does NOT include time management difficulties, wanting to go on holiday, relatives visiting from overseas, computer breakdowns, etc. </w:t>
      </w:r>
    </w:p>
    <w:p w:rsidR="00C0008E" w:rsidRDefault="00C0008E" w:rsidP="00C0008E">
      <w:pPr>
        <w:jc w:val="both"/>
        <w:rPr>
          <w:rFonts w:ascii="Calibri" w:hAnsi="Calibri"/>
          <w:szCs w:val="22"/>
        </w:rPr>
      </w:pPr>
    </w:p>
    <w:p w:rsidR="00C0008E" w:rsidRDefault="00C0008E" w:rsidP="00C0008E">
      <w:pPr>
        <w:jc w:val="both"/>
        <w:outlineLvl w:val="0"/>
        <w:rPr>
          <w:rFonts w:ascii="Calibri" w:hAnsi="Calibri"/>
          <w:szCs w:val="22"/>
          <w:u w:val="single"/>
        </w:rPr>
      </w:pPr>
      <w:r>
        <w:rPr>
          <w:rFonts w:ascii="Calibri" w:hAnsi="Calibri"/>
          <w:szCs w:val="22"/>
          <w:u w:val="single"/>
        </w:rPr>
        <w:t>3. SUBMISSION OF ALL ASSIGNMENTS</w:t>
      </w:r>
    </w:p>
    <w:p w:rsidR="00C0008E" w:rsidRDefault="00C0008E" w:rsidP="00C0008E">
      <w:pPr>
        <w:rPr>
          <w:rFonts w:ascii="Tahoma" w:hAnsi="Tahoma"/>
          <w:szCs w:val="22"/>
        </w:rPr>
      </w:pPr>
    </w:p>
    <w:p w:rsidR="00C0008E" w:rsidRDefault="00C0008E" w:rsidP="00C0008E">
      <w:pPr>
        <w:jc w:val="both"/>
        <w:rPr>
          <w:rFonts w:ascii="Calibri" w:hAnsi="Calibri"/>
          <w:szCs w:val="22"/>
          <w:lang w:val="en-NZ"/>
        </w:rPr>
      </w:pPr>
      <w:r>
        <w:rPr>
          <w:rFonts w:ascii="Calibri" w:hAnsi="Calibri"/>
          <w:szCs w:val="22"/>
        </w:rPr>
        <w:t xml:space="preserve">Unless indicated otherwise by the Course Convenor, hard-copies of assignments should be posted </w:t>
      </w:r>
      <w:r>
        <w:rPr>
          <w:rFonts w:ascii="Calibri" w:hAnsi="Calibri"/>
          <w:b/>
          <w:szCs w:val="22"/>
        </w:rPr>
        <w:t>in the appropriate assignment box on 3</w:t>
      </w:r>
      <w:r>
        <w:rPr>
          <w:rFonts w:ascii="Calibri" w:hAnsi="Calibri"/>
          <w:b/>
          <w:szCs w:val="22"/>
          <w:vertAlign w:val="superscript"/>
        </w:rPr>
        <w:t>rd</w:t>
      </w:r>
      <w:r>
        <w:rPr>
          <w:rFonts w:ascii="Calibri" w:hAnsi="Calibri"/>
          <w:b/>
          <w:szCs w:val="22"/>
        </w:rPr>
        <w:t xml:space="preserve"> floor Arts 1 building by 11:55 am on the due date.</w:t>
      </w:r>
      <w:r>
        <w:rPr>
          <w:rFonts w:ascii="Calibri" w:hAnsi="Calibri"/>
          <w:szCs w:val="22"/>
        </w:rPr>
        <w:t xml:space="preserve"> The Reception Area is not open on Saturday or Sunday or during public holidays.</w:t>
      </w:r>
    </w:p>
    <w:p w:rsidR="00C0008E" w:rsidRDefault="00C0008E" w:rsidP="00C0008E">
      <w:pPr>
        <w:jc w:val="both"/>
        <w:rPr>
          <w:rFonts w:ascii="Calibri" w:hAnsi="Calibri"/>
          <w:szCs w:val="22"/>
          <w:u w:val="single"/>
        </w:rPr>
      </w:pPr>
    </w:p>
    <w:p w:rsidR="00C0008E" w:rsidRDefault="00C0008E" w:rsidP="00C0008E">
      <w:pPr>
        <w:jc w:val="both"/>
        <w:outlineLvl w:val="0"/>
        <w:rPr>
          <w:rFonts w:ascii="Calibri" w:hAnsi="Calibri"/>
          <w:szCs w:val="22"/>
          <w:u w:val="single"/>
        </w:rPr>
      </w:pPr>
      <w:r>
        <w:rPr>
          <w:rFonts w:ascii="Calibri" w:hAnsi="Calibri"/>
          <w:szCs w:val="22"/>
          <w:u w:val="single"/>
        </w:rPr>
        <w:t>4. DEADLINES &amp; PENALTIES FOR LATENESS</w:t>
      </w:r>
    </w:p>
    <w:p w:rsidR="00C0008E" w:rsidRDefault="00C0008E" w:rsidP="00C0008E">
      <w:pPr>
        <w:jc w:val="both"/>
        <w:outlineLvl w:val="0"/>
        <w:rPr>
          <w:rFonts w:ascii="Calibri" w:hAnsi="Calibri"/>
          <w:szCs w:val="22"/>
          <w:u w:val="single"/>
        </w:rPr>
      </w:pPr>
    </w:p>
    <w:p w:rsidR="00C0008E" w:rsidRDefault="00C0008E" w:rsidP="00C0008E">
      <w:pPr>
        <w:jc w:val="both"/>
        <w:rPr>
          <w:rFonts w:ascii="Calibri" w:hAnsi="Calibri"/>
          <w:szCs w:val="22"/>
        </w:rPr>
      </w:pPr>
      <w:r>
        <w:rPr>
          <w:rFonts w:ascii="Calibri" w:hAnsi="Calibri"/>
          <w:b/>
          <w:szCs w:val="22"/>
        </w:rPr>
        <w:t xml:space="preserve">Any work submitted </w:t>
      </w:r>
      <w:r>
        <w:rPr>
          <w:rFonts w:ascii="Calibri" w:hAnsi="Calibri"/>
          <w:b/>
          <w:i/>
          <w:szCs w:val="22"/>
        </w:rPr>
        <w:t>after</w:t>
      </w:r>
      <w:r>
        <w:rPr>
          <w:rFonts w:ascii="Calibri" w:hAnsi="Calibri"/>
          <w:b/>
          <w:szCs w:val="22"/>
        </w:rPr>
        <w:t xml:space="preserve"> the due date and </w:t>
      </w:r>
      <w:r>
        <w:rPr>
          <w:rFonts w:ascii="Calibri" w:hAnsi="Calibri"/>
          <w:b/>
          <w:i/>
          <w:szCs w:val="22"/>
        </w:rPr>
        <w:t>without</w:t>
      </w:r>
      <w:r>
        <w:rPr>
          <w:rFonts w:ascii="Calibri" w:hAnsi="Calibri"/>
          <w:b/>
          <w:szCs w:val="22"/>
        </w:rPr>
        <w:t xml:space="preserve"> an extension form </w:t>
      </w:r>
      <w:r>
        <w:rPr>
          <w:rFonts w:ascii="Calibri" w:hAnsi="Calibri"/>
          <w:szCs w:val="22"/>
        </w:rPr>
        <w:t xml:space="preserve">or permission in writing from the Course Convenor will be treated as overdue and </w:t>
      </w:r>
      <w:r>
        <w:rPr>
          <w:rFonts w:ascii="Calibri" w:hAnsi="Calibri"/>
          <w:b/>
          <w:szCs w:val="22"/>
        </w:rPr>
        <w:t>penalties will apply</w:t>
      </w:r>
      <w:r>
        <w:rPr>
          <w:rFonts w:ascii="Calibri" w:hAnsi="Calibri"/>
          <w:szCs w:val="22"/>
        </w:rPr>
        <w:t xml:space="preserve"> (</w:t>
      </w:r>
      <w:r>
        <w:rPr>
          <w:rFonts w:ascii="Calibri" w:hAnsi="Calibri"/>
          <w:i/>
          <w:szCs w:val="22"/>
        </w:rPr>
        <w:t>see below</w:t>
      </w:r>
      <w:r>
        <w:rPr>
          <w:rFonts w:ascii="Calibri" w:hAnsi="Calibri"/>
          <w:szCs w:val="22"/>
        </w:rPr>
        <w:t xml:space="preserve">).  </w:t>
      </w:r>
    </w:p>
    <w:p w:rsidR="00C0008E" w:rsidRDefault="00C0008E" w:rsidP="00C0008E">
      <w:pPr>
        <w:jc w:val="both"/>
        <w:rPr>
          <w:rFonts w:ascii="Calibri" w:hAnsi="Calibri"/>
          <w:szCs w:val="22"/>
        </w:rPr>
      </w:pPr>
    </w:p>
    <w:p w:rsidR="00C0008E" w:rsidRDefault="00C0008E" w:rsidP="00C0008E">
      <w:pPr>
        <w:jc w:val="both"/>
        <w:rPr>
          <w:rFonts w:ascii="Calibri" w:hAnsi="Calibri"/>
          <w:szCs w:val="22"/>
        </w:rPr>
      </w:pPr>
      <w:r>
        <w:rPr>
          <w:rFonts w:ascii="Calibri" w:hAnsi="Calibri"/>
          <w:szCs w:val="22"/>
        </w:rPr>
        <w:t xml:space="preserve">The mark given to an overdue assignment will be reduced by </w:t>
      </w:r>
      <w:r>
        <w:rPr>
          <w:rFonts w:ascii="Calibri" w:hAnsi="Calibri"/>
          <w:b/>
          <w:szCs w:val="22"/>
        </w:rPr>
        <w:t>up to 10 per cent (at the discretion of the Course Convenor) of the total possible marks for that assignment for each day that it is late up to 5 days</w:t>
      </w:r>
      <w:r>
        <w:rPr>
          <w:rFonts w:ascii="Calibri" w:hAnsi="Calibri"/>
          <w:szCs w:val="22"/>
        </w:rPr>
        <w:t xml:space="preserve"> (e.g. for an assignment marked out of 20, deduct up to 2 marks per day up to a total of 10 marks). Assignments which are due on </w:t>
      </w:r>
      <w:r>
        <w:rPr>
          <w:rFonts w:ascii="Calibri" w:hAnsi="Calibri"/>
          <w:bCs/>
          <w:szCs w:val="22"/>
        </w:rPr>
        <w:t>Friday</w:t>
      </w:r>
      <w:r>
        <w:rPr>
          <w:rFonts w:ascii="Calibri" w:hAnsi="Calibri"/>
          <w:szCs w:val="22"/>
        </w:rPr>
        <w:t>, or the day before a university holiday, but are not received until the next working day will be counted as TWO days late.</w:t>
      </w:r>
    </w:p>
    <w:p w:rsidR="00C0008E" w:rsidRDefault="00C0008E" w:rsidP="00C0008E">
      <w:pPr>
        <w:jc w:val="both"/>
        <w:rPr>
          <w:rFonts w:ascii="Calibri" w:hAnsi="Calibri"/>
          <w:szCs w:val="22"/>
        </w:rPr>
      </w:pPr>
    </w:p>
    <w:p w:rsidR="00C0008E" w:rsidRDefault="00C0008E" w:rsidP="00C0008E">
      <w:pPr>
        <w:jc w:val="both"/>
        <w:rPr>
          <w:rFonts w:ascii="Calibri" w:hAnsi="Calibri"/>
          <w:szCs w:val="22"/>
        </w:rPr>
      </w:pPr>
      <w:r>
        <w:rPr>
          <w:rFonts w:ascii="Calibri" w:hAnsi="Calibri"/>
          <w:szCs w:val="22"/>
        </w:rPr>
        <w:t xml:space="preserve">Overdue assignments that are submitted </w:t>
      </w:r>
      <w:r>
        <w:rPr>
          <w:rFonts w:ascii="Calibri" w:hAnsi="Calibri"/>
          <w:b/>
          <w:szCs w:val="22"/>
        </w:rPr>
        <w:t>more</w:t>
      </w:r>
      <w:r>
        <w:rPr>
          <w:rFonts w:ascii="Calibri" w:hAnsi="Calibri"/>
          <w:szCs w:val="22"/>
        </w:rPr>
        <w:t xml:space="preserve"> than five days late will </w:t>
      </w:r>
      <w:r>
        <w:rPr>
          <w:rFonts w:ascii="Calibri" w:hAnsi="Calibri"/>
          <w:b/>
          <w:szCs w:val="22"/>
        </w:rPr>
        <w:t>not be marked</w:t>
      </w:r>
      <w:r>
        <w:rPr>
          <w:rFonts w:ascii="Calibri" w:hAnsi="Calibri"/>
          <w:szCs w:val="22"/>
        </w:rPr>
        <w:t>;</w:t>
      </w:r>
      <w:r>
        <w:rPr>
          <w:rFonts w:ascii="Calibri" w:hAnsi="Calibri"/>
          <w:bCs/>
          <w:szCs w:val="22"/>
        </w:rPr>
        <w:t xml:space="preserve"> nor will assignments be marked if submitted after the assignment has been marked and returned.  Unmarked </w:t>
      </w:r>
      <w:r>
        <w:rPr>
          <w:rFonts w:ascii="Calibri" w:hAnsi="Calibri"/>
          <w:szCs w:val="22"/>
        </w:rPr>
        <w:t xml:space="preserve">assignments will be held by the marker until the end of the semester, and in cases where the final grade for the student is borderline (D+), the marker may choose to award a minimal completion mark.  </w:t>
      </w:r>
      <w:r>
        <w:rPr>
          <w:rFonts w:ascii="Calibri" w:hAnsi="Calibri"/>
          <w:b/>
          <w:szCs w:val="22"/>
        </w:rPr>
        <w:t>For this reason, it is better to hand in an assignment late than not at all.</w:t>
      </w:r>
      <w:r>
        <w:rPr>
          <w:rFonts w:ascii="Calibri" w:hAnsi="Calibri"/>
          <w:szCs w:val="22"/>
        </w:rPr>
        <w:t xml:space="preserve"> </w:t>
      </w:r>
    </w:p>
    <w:p w:rsidR="00C0008E" w:rsidRDefault="00C0008E" w:rsidP="00C0008E">
      <w:pPr>
        <w:jc w:val="both"/>
        <w:rPr>
          <w:rFonts w:ascii="Calibri" w:hAnsi="Calibri"/>
          <w:szCs w:val="22"/>
        </w:rPr>
      </w:pPr>
    </w:p>
    <w:p w:rsidR="00C0008E" w:rsidRDefault="00C0008E" w:rsidP="00C0008E">
      <w:pPr>
        <w:rPr>
          <w:rFonts w:ascii="Calibri" w:hAnsi="Calibri"/>
          <w:szCs w:val="22"/>
          <w:u w:val="single"/>
        </w:rPr>
      </w:pPr>
    </w:p>
    <w:p w:rsidR="00C0008E" w:rsidRDefault="00C0008E" w:rsidP="00C0008E">
      <w:pPr>
        <w:outlineLvl w:val="0"/>
        <w:rPr>
          <w:rFonts w:ascii="Calibri" w:hAnsi="Calibri"/>
          <w:szCs w:val="22"/>
        </w:rPr>
      </w:pPr>
      <w:r>
        <w:rPr>
          <w:rFonts w:ascii="Calibri" w:hAnsi="Calibri"/>
          <w:szCs w:val="22"/>
          <w:u w:val="single"/>
        </w:rPr>
        <w:t>5. EXTENSIONS</w:t>
      </w:r>
      <w:r>
        <w:rPr>
          <w:rFonts w:ascii="Calibri" w:hAnsi="Calibri"/>
          <w:szCs w:val="22"/>
        </w:rPr>
        <w:t xml:space="preserve"> </w:t>
      </w:r>
    </w:p>
    <w:p w:rsidR="00C0008E" w:rsidRDefault="00C0008E" w:rsidP="00C0008E">
      <w:pPr>
        <w:rPr>
          <w:rFonts w:ascii="Calibri" w:hAnsi="Calibri"/>
          <w:szCs w:val="22"/>
          <w:u w:val="single"/>
        </w:rPr>
      </w:pPr>
      <w:r>
        <w:rPr>
          <w:rFonts w:ascii="Calibri" w:hAnsi="Calibri"/>
          <w:szCs w:val="22"/>
        </w:rPr>
        <w:t xml:space="preserve"> </w:t>
      </w:r>
    </w:p>
    <w:p w:rsidR="00C0008E" w:rsidRDefault="00C0008E" w:rsidP="00C0008E">
      <w:pPr>
        <w:jc w:val="both"/>
        <w:rPr>
          <w:rFonts w:ascii="Calibri" w:hAnsi="Calibri"/>
          <w:szCs w:val="22"/>
        </w:rPr>
      </w:pPr>
      <w:r>
        <w:rPr>
          <w:rFonts w:ascii="Calibri" w:hAnsi="Calibri"/>
          <w:szCs w:val="22"/>
        </w:rPr>
        <w:t xml:space="preserve">When a staff member grants an extension they will set a </w:t>
      </w:r>
      <w:r>
        <w:rPr>
          <w:rFonts w:ascii="Calibri" w:hAnsi="Calibri"/>
          <w:i/>
          <w:szCs w:val="22"/>
        </w:rPr>
        <w:t>new due date</w:t>
      </w:r>
      <w:r>
        <w:rPr>
          <w:rFonts w:ascii="Calibri" w:hAnsi="Calibri"/>
          <w:szCs w:val="22"/>
        </w:rPr>
        <w:t xml:space="preserve">. The completed assignment must be submitted on or before the </w:t>
      </w:r>
      <w:r>
        <w:rPr>
          <w:rFonts w:ascii="Calibri" w:hAnsi="Calibri"/>
          <w:i/>
          <w:szCs w:val="22"/>
        </w:rPr>
        <w:t>new</w:t>
      </w:r>
      <w:r>
        <w:rPr>
          <w:rFonts w:ascii="Calibri" w:hAnsi="Calibri"/>
          <w:szCs w:val="22"/>
        </w:rPr>
        <w:t xml:space="preserve"> due date </w:t>
      </w:r>
      <w:r>
        <w:rPr>
          <w:rFonts w:ascii="Calibri" w:hAnsi="Calibri"/>
          <w:b/>
          <w:szCs w:val="22"/>
        </w:rPr>
        <w:t>together with</w:t>
      </w:r>
      <w:r>
        <w:rPr>
          <w:rFonts w:ascii="Calibri" w:hAnsi="Calibri"/>
          <w:szCs w:val="22"/>
        </w:rPr>
        <w:t xml:space="preserve"> the medical certificate and other documentation. </w:t>
      </w:r>
      <w:r>
        <w:rPr>
          <w:rFonts w:ascii="Calibri" w:hAnsi="Calibri"/>
          <w:b/>
          <w:szCs w:val="22"/>
        </w:rPr>
        <w:t>If an assignment is submitted after the new due date, penalties for lateness apply as above.</w:t>
      </w:r>
    </w:p>
    <w:p w:rsidR="00C0008E" w:rsidRDefault="00C0008E" w:rsidP="00C0008E">
      <w:pPr>
        <w:outlineLvl w:val="0"/>
        <w:rPr>
          <w:rFonts w:ascii="Calibri" w:hAnsi="Calibri"/>
          <w:szCs w:val="22"/>
          <w:u w:val="single"/>
        </w:rPr>
      </w:pPr>
    </w:p>
    <w:p w:rsidR="00C0008E" w:rsidRDefault="00C0008E" w:rsidP="00C0008E">
      <w:pPr>
        <w:outlineLvl w:val="0"/>
        <w:rPr>
          <w:rFonts w:ascii="Calibri" w:hAnsi="Calibri"/>
          <w:szCs w:val="22"/>
          <w:u w:val="single"/>
        </w:rPr>
      </w:pPr>
    </w:p>
    <w:p w:rsidR="00C0008E" w:rsidRDefault="00C0008E" w:rsidP="00C0008E">
      <w:pPr>
        <w:jc w:val="both"/>
        <w:rPr>
          <w:rFonts w:ascii="Calibri" w:hAnsi="Calibri" w:cs="Arial"/>
          <w:bCs/>
          <w:szCs w:val="24"/>
          <w:u w:val="single"/>
        </w:rPr>
      </w:pPr>
    </w:p>
    <w:p w:rsidR="00C0008E" w:rsidRDefault="00C0008E" w:rsidP="00C0008E">
      <w:pPr>
        <w:jc w:val="both"/>
        <w:rPr>
          <w:rFonts w:ascii="Calibri" w:hAnsi="Calibri" w:cs="Arial"/>
          <w:bCs/>
          <w:u w:val="single"/>
        </w:rPr>
      </w:pPr>
    </w:p>
    <w:p w:rsidR="00C0008E" w:rsidRDefault="00C0008E" w:rsidP="00C0008E">
      <w:pPr>
        <w:jc w:val="both"/>
        <w:rPr>
          <w:rFonts w:ascii="Calibri" w:hAnsi="Calibri" w:cs="Arial"/>
          <w:bCs/>
          <w:u w:val="single"/>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C0008E" w:rsidTr="00C0008E">
        <w:tc>
          <w:tcPr>
            <w:tcW w:w="9855" w:type="dxa"/>
            <w:shd w:val="clear" w:color="auto" w:fill="F2F2F2" w:themeFill="background1" w:themeFillShade="F2"/>
            <w:hideMark/>
          </w:tcPr>
          <w:p w:rsidR="00C0008E" w:rsidRDefault="00C0008E">
            <w:pPr>
              <w:spacing w:before="120" w:after="120"/>
              <w:jc w:val="both"/>
              <w:rPr>
                <w:rFonts w:ascii="Calibri" w:hAnsi="Calibri" w:cs="Arial"/>
                <w:bCs/>
                <w:sz w:val="28"/>
                <w:szCs w:val="28"/>
              </w:rPr>
            </w:pPr>
            <w:r>
              <w:rPr>
                <w:rFonts w:ascii="Calibri" w:hAnsi="Calibri" w:cs="Arial"/>
                <w:bCs/>
                <w:sz w:val="28"/>
                <w:szCs w:val="28"/>
              </w:rPr>
              <w:t xml:space="preserve">Plagiarism and the use of </w:t>
            </w:r>
            <w:r>
              <w:rPr>
                <w:rFonts w:ascii="Calibri" w:hAnsi="Calibri"/>
                <w:sz w:val="28"/>
                <w:szCs w:val="28"/>
              </w:rPr>
              <w:t>Information and Communications Technology (ICT)</w:t>
            </w:r>
          </w:p>
        </w:tc>
      </w:tr>
    </w:tbl>
    <w:p w:rsidR="00C0008E" w:rsidRDefault="00C0008E" w:rsidP="00C0008E">
      <w:pPr>
        <w:jc w:val="both"/>
        <w:rPr>
          <w:rFonts w:ascii="Calibri" w:hAnsi="Calibri" w:cs="Arial"/>
          <w:bCs/>
          <w:sz w:val="22"/>
          <w:szCs w:val="22"/>
          <w:u w:val="single"/>
        </w:rPr>
      </w:pPr>
    </w:p>
    <w:p w:rsidR="00C0008E" w:rsidRDefault="00C0008E" w:rsidP="00C0008E">
      <w:pPr>
        <w:jc w:val="both"/>
        <w:rPr>
          <w:rFonts w:ascii="Calibri" w:hAnsi="Calibri" w:cs="Arial"/>
          <w:bCs/>
          <w:szCs w:val="22"/>
        </w:rPr>
      </w:pPr>
      <w:r>
        <w:rPr>
          <w:rFonts w:ascii="Calibri" w:hAnsi="Calibri" w:cs="Arial"/>
          <w:bCs/>
          <w:szCs w:val="22"/>
        </w:rPr>
        <w:t>Students need to be aware of University regulations with regard to…</w:t>
      </w:r>
    </w:p>
    <w:p w:rsidR="00C0008E" w:rsidRDefault="00C0008E" w:rsidP="00C0008E">
      <w:pPr>
        <w:jc w:val="both"/>
        <w:rPr>
          <w:rFonts w:ascii="Calibri" w:hAnsi="Calibri" w:cs="Arial"/>
          <w:bCs/>
          <w:szCs w:val="22"/>
          <w:u w:val="single"/>
        </w:rPr>
      </w:pPr>
    </w:p>
    <w:p w:rsidR="00C0008E" w:rsidRDefault="00C0008E" w:rsidP="00C0008E">
      <w:pPr>
        <w:jc w:val="both"/>
        <w:rPr>
          <w:rFonts w:ascii="Calibri" w:hAnsi="Calibri" w:cs="Arial"/>
          <w:bCs/>
          <w:szCs w:val="22"/>
          <w:u w:val="single"/>
        </w:rPr>
      </w:pPr>
    </w:p>
    <w:p w:rsidR="00C0008E" w:rsidRDefault="00C0008E" w:rsidP="00C0008E">
      <w:pPr>
        <w:jc w:val="both"/>
        <w:rPr>
          <w:rFonts w:ascii="Calibri" w:hAnsi="Calibri" w:cs="Arial"/>
          <w:bCs/>
          <w:szCs w:val="22"/>
          <w:u w:val="single"/>
        </w:rPr>
      </w:pPr>
      <w:r>
        <w:rPr>
          <w:rFonts w:ascii="Calibri" w:hAnsi="Calibri" w:cs="Arial"/>
          <w:bCs/>
          <w:szCs w:val="22"/>
          <w:u w:val="single"/>
        </w:rPr>
        <w:t>1. PLAGIARISM</w:t>
      </w:r>
    </w:p>
    <w:p w:rsidR="00C0008E" w:rsidRDefault="00C0008E" w:rsidP="00C0008E">
      <w:pPr>
        <w:pStyle w:val="BlockText"/>
        <w:ind w:left="0" w:right="70"/>
        <w:jc w:val="both"/>
        <w:rPr>
          <w:rFonts w:ascii="Calibri" w:hAnsi="Calibri" w:cs="Arial"/>
          <w:sz w:val="22"/>
          <w:szCs w:val="22"/>
        </w:rPr>
      </w:pPr>
    </w:p>
    <w:p w:rsidR="00C0008E" w:rsidRDefault="00C0008E" w:rsidP="00C0008E">
      <w:pPr>
        <w:pStyle w:val="BlockText"/>
        <w:ind w:left="0" w:right="70"/>
        <w:rPr>
          <w:rFonts w:ascii="Calibri" w:hAnsi="Calibri" w:cs="Arial"/>
          <w:sz w:val="22"/>
          <w:szCs w:val="22"/>
        </w:rPr>
      </w:pPr>
      <w:r>
        <w:rPr>
          <w:rFonts w:ascii="Calibri" w:hAnsi="Calibri" w:cs="Arial"/>
          <w:sz w:val="22"/>
          <w:szCs w:val="22"/>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C0008E" w:rsidRDefault="00C0008E" w:rsidP="00C0008E">
      <w:pPr>
        <w:pStyle w:val="BlockText"/>
        <w:ind w:left="0" w:right="70"/>
        <w:rPr>
          <w:rFonts w:ascii="Calibri" w:hAnsi="Calibri" w:cs="Arial"/>
          <w:sz w:val="22"/>
          <w:szCs w:val="22"/>
        </w:rPr>
      </w:pPr>
    </w:p>
    <w:p w:rsidR="00C0008E" w:rsidRDefault="00C0008E" w:rsidP="00C0008E">
      <w:pPr>
        <w:rPr>
          <w:rFonts w:ascii="Calibri" w:hAnsi="Calibri"/>
          <w:sz w:val="22"/>
          <w:szCs w:val="22"/>
        </w:rPr>
      </w:pPr>
      <w:r>
        <w:rPr>
          <w:rFonts w:ascii="Calibri" w:hAnsi="Calibri"/>
          <w:szCs w:val="22"/>
        </w:rPr>
        <w:t>Students may not translate work from another source without proper acknowledgment and referencing. The use of translation machines to translate and copy texts into the target language of an assignment constitutes academic dishonesty.</w:t>
      </w:r>
    </w:p>
    <w:p w:rsidR="00C0008E" w:rsidRDefault="00C0008E" w:rsidP="00C0008E">
      <w:pPr>
        <w:pStyle w:val="BlockText"/>
        <w:ind w:left="0" w:right="70"/>
        <w:rPr>
          <w:rFonts w:ascii="Calibri" w:hAnsi="Calibri" w:cs="Arial"/>
          <w:sz w:val="22"/>
          <w:szCs w:val="22"/>
        </w:rPr>
      </w:pPr>
    </w:p>
    <w:p w:rsidR="00C0008E" w:rsidRDefault="00C0008E" w:rsidP="00C0008E">
      <w:pPr>
        <w:rPr>
          <w:rFonts w:ascii="Calibri" w:hAnsi="Calibri" w:cs="Arial"/>
          <w:sz w:val="22"/>
          <w:szCs w:val="22"/>
        </w:rPr>
      </w:pPr>
      <w:r>
        <w:rPr>
          <w:rFonts w:ascii="Calibri" w:hAnsi="Calibri" w:cs="Arial"/>
          <w:szCs w:val="22"/>
        </w:rPr>
        <w:t xml:space="preserve">The penalties for plagiarism are severe and can range from gaining no marks for the assignment to disciplinary action under the terms of the Examination Regulations.  </w:t>
      </w:r>
    </w:p>
    <w:p w:rsidR="00C0008E" w:rsidRDefault="00C0008E" w:rsidP="00C0008E">
      <w:pPr>
        <w:rPr>
          <w:rFonts w:ascii="Calibri" w:hAnsi="Calibri" w:cs="Arial"/>
          <w:szCs w:val="22"/>
        </w:rPr>
      </w:pPr>
    </w:p>
    <w:p w:rsidR="00C0008E" w:rsidRDefault="00C0008E" w:rsidP="00C0008E">
      <w:pPr>
        <w:rPr>
          <w:rFonts w:ascii="Calibri" w:hAnsi="Calibri" w:cs="Arial"/>
          <w:szCs w:val="22"/>
        </w:rPr>
      </w:pPr>
      <w:r>
        <w:rPr>
          <w:rFonts w:ascii="Calibri" w:hAnsi="Calibri" w:cs="Arial"/>
          <w:szCs w:val="22"/>
        </w:rPr>
        <w:t>For further information and advice on University regulations and how to reference appropriately, see:</w:t>
      </w:r>
    </w:p>
    <w:p w:rsidR="00C0008E" w:rsidRDefault="00990C9D" w:rsidP="00C0008E">
      <w:pPr>
        <w:rPr>
          <w:rStyle w:val="Hyperlink"/>
        </w:rPr>
      </w:pPr>
      <w:hyperlink r:id="rId6" w:history="1">
        <w:r w:rsidR="00C0008E">
          <w:rPr>
            <w:rStyle w:val="Hyperlink"/>
            <w:rFonts w:ascii="Calibri" w:hAnsi="Calibri" w:cs="Arial"/>
            <w:szCs w:val="22"/>
          </w:rPr>
          <w:t>https://www.auckland.ac.nz/en/about/teaching-learning/academic-integrity/tl-about-academic-integrity.html</w:t>
        </w:r>
      </w:hyperlink>
      <w:r w:rsidR="00C0008E">
        <w:rPr>
          <w:rStyle w:val="Hyperlink"/>
          <w:rFonts w:ascii="Calibri" w:hAnsi="Calibri" w:cs="Arial"/>
          <w:szCs w:val="22"/>
        </w:rPr>
        <w:t>.</w:t>
      </w:r>
    </w:p>
    <w:p w:rsidR="00C0008E" w:rsidRDefault="00C0008E" w:rsidP="00C0008E">
      <w:pPr>
        <w:rPr>
          <w:rStyle w:val="Hyperlink"/>
          <w:rFonts w:ascii="Calibri" w:hAnsi="Calibri" w:cs="Arial"/>
          <w:szCs w:val="22"/>
        </w:rPr>
      </w:pPr>
    </w:p>
    <w:p w:rsidR="00C0008E" w:rsidRDefault="00C0008E" w:rsidP="00C0008E">
      <w:pPr>
        <w:rPr>
          <w:rStyle w:val="Hyperlink"/>
          <w:rFonts w:ascii="Calibri" w:hAnsi="Calibri" w:cs="Arial"/>
          <w:szCs w:val="22"/>
        </w:rPr>
      </w:pPr>
      <w:r>
        <w:rPr>
          <w:rStyle w:val="Hyperlink"/>
          <w:rFonts w:ascii="Calibri" w:hAnsi="Calibri" w:cs="Arial"/>
          <w:szCs w:val="22"/>
        </w:rPr>
        <w:t xml:space="preserve">This webpage provides links and information about various aspects of academic integrity: sources of information and advice (e.g. </w:t>
      </w:r>
      <w:proofErr w:type="spellStart"/>
      <w:r>
        <w:rPr>
          <w:rStyle w:val="Hyperlink"/>
          <w:rFonts w:ascii="Calibri" w:hAnsi="Calibri" w:cs="Arial"/>
          <w:szCs w:val="22"/>
        </w:rPr>
        <w:t>Referen©ite</w:t>
      </w:r>
      <w:proofErr w:type="spellEnd"/>
      <w:r>
        <w:rPr>
          <w:rStyle w:val="Hyperlink"/>
          <w:rFonts w:ascii="Calibri" w:hAnsi="Calibri" w:cs="Arial"/>
          <w:szCs w:val="22"/>
        </w:rPr>
        <w:t xml:space="preserve">) as well as University regulations (the Student Academic Conduct Statute), and Turnitin. All students entering the University are required to complete the </w:t>
      </w:r>
      <w:r>
        <w:rPr>
          <w:rStyle w:val="Hyperlink"/>
          <w:rFonts w:ascii="Calibri" w:hAnsi="Calibri" w:cs="Arial"/>
          <w:b/>
          <w:szCs w:val="22"/>
        </w:rPr>
        <w:t>Academic Integrity Module.</w:t>
      </w:r>
      <w:r>
        <w:rPr>
          <w:rStyle w:val="Hyperlink"/>
          <w:rFonts w:ascii="Calibri" w:hAnsi="Calibri" w:cs="Arial"/>
          <w:szCs w:val="22"/>
        </w:rPr>
        <w:t xml:space="preserve"> </w:t>
      </w:r>
    </w:p>
    <w:p w:rsidR="00C0008E" w:rsidRDefault="00C0008E" w:rsidP="00C0008E"/>
    <w:p w:rsidR="00C0008E" w:rsidRDefault="00C0008E" w:rsidP="00C0008E">
      <w:pPr>
        <w:rPr>
          <w:rFonts w:ascii="Calibri" w:hAnsi="Calibri"/>
          <w:szCs w:val="22"/>
        </w:rPr>
      </w:pPr>
    </w:p>
    <w:p w:rsidR="00C0008E" w:rsidRDefault="00C0008E" w:rsidP="00C0008E">
      <w:pPr>
        <w:rPr>
          <w:rFonts w:ascii="Calibri" w:hAnsi="Calibri"/>
          <w:szCs w:val="22"/>
        </w:rPr>
      </w:pPr>
    </w:p>
    <w:p w:rsidR="00C0008E" w:rsidRDefault="00C0008E" w:rsidP="00C0008E">
      <w:pPr>
        <w:rPr>
          <w:rFonts w:ascii="Calibri" w:hAnsi="Calibri"/>
          <w:szCs w:val="22"/>
          <w:u w:val="single"/>
        </w:rPr>
      </w:pPr>
      <w:r>
        <w:rPr>
          <w:rFonts w:ascii="Calibri" w:hAnsi="Calibri"/>
          <w:szCs w:val="22"/>
          <w:u w:val="single"/>
        </w:rPr>
        <w:t>2. USE OF INFORMATION AND COMMUNICATIONS TECHNOLOGY (</w:t>
      </w:r>
      <w:proofErr w:type="spellStart"/>
      <w:r>
        <w:rPr>
          <w:rFonts w:ascii="Calibri" w:hAnsi="Calibri"/>
          <w:szCs w:val="22"/>
          <w:u w:val="single"/>
        </w:rPr>
        <w:t>eg.</w:t>
      </w:r>
      <w:proofErr w:type="spellEnd"/>
      <w:r>
        <w:rPr>
          <w:rFonts w:ascii="Calibri" w:hAnsi="Calibri"/>
          <w:szCs w:val="22"/>
          <w:u w:val="single"/>
        </w:rPr>
        <w:t xml:space="preserve"> CLASS FACEBOOK PAGES)</w:t>
      </w:r>
    </w:p>
    <w:p w:rsidR="00C0008E" w:rsidRDefault="00C0008E" w:rsidP="00C0008E">
      <w:pPr>
        <w:pStyle w:val="PlainText"/>
        <w:rPr>
          <w:rFonts w:asciiTheme="minorHAnsi" w:hAnsiTheme="minorHAnsi"/>
          <w:sz w:val="22"/>
          <w:szCs w:val="22"/>
        </w:rPr>
      </w:pPr>
    </w:p>
    <w:p w:rsidR="00C0008E" w:rsidRDefault="00C0008E" w:rsidP="00C0008E">
      <w:pPr>
        <w:pStyle w:val="PlainText"/>
        <w:rPr>
          <w:rStyle w:val="Hyperlink"/>
          <w:rFonts w:ascii="Calibri" w:hAnsi="Calibri"/>
        </w:rPr>
      </w:pPr>
      <w:r>
        <w:rPr>
          <w:rFonts w:asciiTheme="minorHAnsi" w:hAnsiTheme="minorHAnsi"/>
          <w:sz w:val="22"/>
          <w:szCs w:val="22"/>
        </w:rPr>
        <w:t xml:space="preserve">If you set up a Facebook page or similar for the course, please be aware of the University’s Information and Communications Technology (ICT) rules about use of any ICT hardware or software at or for University activities. It forbids using ICT “to store, display or communicate… files containing any text, image that is deceptive or misleading, is abusive or defamatory, contravenes anyone’s privacy… or that reproduces all or part of any work in breach of the Copyright Act 1994”.  The Statute also refers to penalties that may apply.  It can be found at: </w:t>
      </w:r>
      <w:hyperlink r:id="rId7" w:history="1">
        <w:r>
          <w:rPr>
            <w:rStyle w:val="Hyperlink"/>
            <w:rFonts w:ascii="Calibri" w:hAnsi="Calibri"/>
            <w:sz w:val="22"/>
            <w:szCs w:val="22"/>
          </w:rPr>
          <w:t>https://policies.auckland.ac.nz/student-undergraduate.aspx</w:t>
        </w:r>
      </w:hyperlink>
    </w:p>
    <w:p w:rsidR="00C0008E" w:rsidRDefault="00C0008E" w:rsidP="00C0008E">
      <w:pPr>
        <w:pStyle w:val="PlainText"/>
        <w:rPr>
          <w:rStyle w:val="Hyperlink"/>
          <w:rFonts w:ascii="Calibri" w:hAnsi="Calibri"/>
          <w:sz w:val="22"/>
          <w:szCs w:val="22"/>
        </w:rPr>
      </w:pPr>
    </w:p>
    <w:p w:rsidR="00C0008E" w:rsidRDefault="00C0008E" w:rsidP="00C0008E">
      <w:pPr>
        <w:rPr>
          <w:rFonts w:ascii="Tahoma" w:hAnsi="Tahoma"/>
          <w:szCs w:val="24"/>
        </w:rPr>
      </w:pPr>
    </w:p>
    <w:p w:rsidR="00C0008E" w:rsidRDefault="00C0008E" w:rsidP="00C0008E"/>
    <w:p w:rsidR="00C0008E" w:rsidRDefault="00C0008E" w:rsidP="00C0008E"/>
    <w:p w:rsidR="00C0008E" w:rsidRDefault="00C0008E" w:rsidP="00C0008E"/>
    <w:p w:rsidR="00C0008E" w:rsidRDefault="00C0008E" w:rsidP="00C0008E">
      <w:pPr>
        <w:pStyle w:val="NormalWeb"/>
        <w:spacing w:line="360" w:lineRule="auto"/>
        <w:rPr>
          <w:rFonts w:asciiTheme="minorHAnsi" w:hAnsiTheme="minorHAnsi"/>
          <w:sz w:val="22"/>
          <w:szCs w:val="22"/>
          <w:lang w:eastAsia="en-NZ"/>
        </w:rPr>
      </w:pPr>
    </w:p>
    <w:p w:rsidR="00F9683C" w:rsidRDefault="00F9683C"/>
    <w:sectPr w:rsidR="00F968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D87A37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 w15:restartNumberingAfterBreak="0">
    <w:nsid w:val="34EA2711"/>
    <w:multiLevelType w:val="hybridMultilevel"/>
    <w:tmpl w:val="CA90B40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82"/>
    <w:rsid w:val="000E532C"/>
    <w:rsid w:val="0010322C"/>
    <w:rsid w:val="003A1B82"/>
    <w:rsid w:val="005A1D23"/>
    <w:rsid w:val="005A2F7B"/>
    <w:rsid w:val="005F1EB0"/>
    <w:rsid w:val="006320D8"/>
    <w:rsid w:val="00960C6A"/>
    <w:rsid w:val="00990C9D"/>
    <w:rsid w:val="009E7C82"/>
    <w:rsid w:val="00C0008E"/>
    <w:rsid w:val="00C84457"/>
    <w:rsid w:val="00CE4BD5"/>
    <w:rsid w:val="00D656EA"/>
    <w:rsid w:val="00F9683C"/>
    <w:rsid w:val="00FD3B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0B247"/>
  <w15:docId w15:val="{23CC30EA-BE0E-4047-8CDF-97E5EB9A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7C82"/>
    <w:pPr>
      <w:overflowPunct w:val="0"/>
      <w:autoSpaceDE w:val="0"/>
      <w:autoSpaceDN w:val="0"/>
      <w:adjustRightInd w:val="0"/>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E7C82"/>
    <w:rPr>
      <w:color w:val="0000FF"/>
      <w:u w:val="single"/>
    </w:rPr>
  </w:style>
  <w:style w:type="paragraph" w:styleId="NormalWeb">
    <w:name w:val="Normal (Web)"/>
    <w:basedOn w:val="Normal"/>
    <w:uiPriority w:val="99"/>
    <w:semiHidden/>
    <w:unhideWhenUsed/>
    <w:rsid w:val="00C0008E"/>
    <w:pPr>
      <w:overflowPunct/>
      <w:autoSpaceDE/>
      <w:autoSpaceDN/>
      <w:adjustRightInd/>
      <w:spacing w:before="100" w:beforeAutospacing="1" w:after="100" w:afterAutospacing="1"/>
    </w:pPr>
    <w:rPr>
      <w:rFonts w:eastAsia="SimSun"/>
      <w:sz w:val="24"/>
      <w:szCs w:val="24"/>
      <w:lang w:val="en-NZ" w:eastAsia="zh-CN"/>
    </w:rPr>
  </w:style>
  <w:style w:type="paragraph" w:styleId="BlockText">
    <w:name w:val="Block Text"/>
    <w:basedOn w:val="Normal"/>
    <w:uiPriority w:val="99"/>
    <w:semiHidden/>
    <w:unhideWhenUsed/>
    <w:rsid w:val="00C0008E"/>
    <w:pPr>
      <w:overflowPunct/>
      <w:ind w:left="426" w:right="807"/>
    </w:pPr>
    <w:rPr>
      <w:b/>
      <w:bCs/>
      <w:sz w:val="24"/>
      <w:lang w:val="en-NZ"/>
    </w:rPr>
  </w:style>
  <w:style w:type="paragraph" w:styleId="PlainText">
    <w:name w:val="Plain Text"/>
    <w:basedOn w:val="Normal"/>
    <w:link w:val="PlainTextChar"/>
    <w:uiPriority w:val="99"/>
    <w:semiHidden/>
    <w:unhideWhenUsed/>
    <w:rsid w:val="00C0008E"/>
    <w:pPr>
      <w:overflowPunct/>
      <w:autoSpaceDE/>
      <w:autoSpaceDN/>
      <w:adjustRightInd/>
    </w:pPr>
    <w:rPr>
      <w:rFonts w:ascii="Courier New" w:hAnsi="Courier New"/>
    </w:rPr>
  </w:style>
  <w:style w:type="character" w:customStyle="1" w:styleId="PlainTextChar">
    <w:name w:val="Plain Text Char"/>
    <w:basedOn w:val="DefaultParagraphFont"/>
    <w:link w:val="PlainText"/>
    <w:uiPriority w:val="99"/>
    <w:semiHidden/>
    <w:rsid w:val="00C0008E"/>
    <w:rPr>
      <w:rFonts w:ascii="Courier New" w:eastAsia="Times New Roman" w:hAnsi="Courier New" w:cs="Times New Roman"/>
      <w:sz w:val="20"/>
      <w:szCs w:val="20"/>
      <w:lang w:val="en-GB"/>
    </w:rPr>
  </w:style>
  <w:style w:type="table" w:styleId="TableGrid">
    <w:name w:val="Table Grid"/>
    <w:basedOn w:val="TableNormal"/>
    <w:uiPriority w:val="59"/>
    <w:rsid w:val="00C0008E"/>
    <w:pPr>
      <w:spacing w:after="0" w:line="240" w:lineRule="auto"/>
    </w:pPr>
    <w:rPr>
      <w:rFonts w:ascii="Times New Roman" w:eastAsia="Times New Roman" w:hAnsi="Times New Roman" w:cs="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5955">
      <w:bodyDiv w:val="1"/>
      <w:marLeft w:val="0"/>
      <w:marRight w:val="0"/>
      <w:marTop w:val="0"/>
      <w:marBottom w:val="0"/>
      <w:divBdr>
        <w:top w:val="none" w:sz="0" w:space="0" w:color="auto"/>
        <w:left w:val="none" w:sz="0" w:space="0" w:color="auto"/>
        <w:bottom w:val="none" w:sz="0" w:space="0" w:color="auto"/>
        <w:right w:val="none" w:sz="0" w:space="0" w:color="auto"/>
      </w:divBdr>
    </w:div>
    <w:div w:id="1046754781">
      <w:bodyDiv w:val="1"/>
      <w:marLeft w:val="0"/>
      <w:marRight w:val="0"/>
      <w:marTop w:val="0"/>
      <w:marBottom w:val="0"/>
      <w:divBdr>
        <w:top w:val="none" w:sz="0" w:space="0" w:color="auto"/>
        <w:left w:val="none" w:sz="0" w:space="0" w:color="auto"/>
        <w:bottom w:val="none" w:sz="0" w:space="0" w:color="auto"/>
        <w:right w:val="none" w:sz="0" w:space="0" w:color="auto"/>
      </w:divBdr>
    </w:div>
    <w:div w:id="20732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licies.auckland.ac.nz/student-undergraduat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uckland.ac.nz/en/about/teaching-learning/academic-integrity/tl-about-academic-integrity.html" TargetMode="External"/><Relationship Id="rId5" Type="http://schemas.openxmlformats.org/officeDocument/2006/relationships/hyperlink" Target="mailto:h.basturkmen@auckland.ac.n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1185</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Basturkmen</dc:creator>
  <cp:lastModifiedBy>Helen Basturkmen</cp:lastModifiedBy>
  <cp:revision>6</cp:revision>
  <dcterms:created xsi:type="dcterms:W3CDTF">2020-06-08T22:43:00Z</dcterms:created>
  <dcterms:modified xsi:type="dcterms:W3CDTF">2020-06-09T04:08:00Z</dcterms:modified>
</cp:coreProperties>
</file>